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9D" w:rsidRPr="00067B8E" w:rsidRDefault="007B2E9D" w:rsidP="007B2E9D">
      <w:pPr>
        <w:spacing w:line="560" w:lineRule="exact"/>
        <w:jc w:val="center"/>
        <w:rPr>
          <w:rFonts w:ascii="方正仿宋简体" w:eastAsia="方正仿宋简体" w:hAnsi="宋体"/>
          <w:b/>
          <w:bCs/>
          <w:sz w:val="36"/>
          <w:szCs w:val="36"/>
        </w:rPr>
      </w:pPr>
      <w:r w:rsidRPr="00067B8E">
        <w:rPr>
          <w:rFonts w:ascii="方正仿宋简体" w:eastAsia="方正仿宋简体" w:hAnsi="宋体" w:hint="eastAsia"/>
          <w:b/>
          <w:bCs/>
          <w:sz w:val="36"/>
          <w:szCs w:val="36"/>
        </w:rPr>
        <w:t>H股“全流通”技术系统测试指南</w:t>
      </w:r>
    </w:p>
    <w:p w:rsidR="007B2E9D" w:rsidRPr="002864A2" w:rsidRDefault="007B2E9D" w:rsidP="007B2E9D"/>
    <w:p w:rsidR="007B2E9D" w:rsidRPr="00F9618E" w:rsidRDefault="007B2E9D" w:rsidP="007B2E9D">
      <w:pPr>
        <w:spacing w:line="560" w:lineRule="exact"/>
        <w:jc w:val="center"/>
        <w:rPr>
          <w:rFonts w:ascii="方正仿宋简体" w:eastAsia="方正仿宋简体" w:hAnsi="宋体"/>
          <w:b/>
          <w:bCs/>
          <w:sz w:val="30"/>
          <w:szCs w:val="30"/>
        </w:rPr>
      </w:pPr>
      <w:r>
        <w:rPr>
          <w:rFonts w:ascii="方正仿宋简体" w:eastAsia="方正仿宋简体" w:hAnsi="宋体" w:hint="eastAsia"/>
          <w:b/>
          <w:bCs/>
          <w:sz w:val="30"/>
          <w:szCs w:val="30"/>
        </w:rPr>
        <w:t>第</w:t>
      </w:r>
      <w:r w:rsidRPr="00F9618E">
        <w:rPr>
          <w:rFonts w:ascii="方正仿宋简体" w:eastAsia="方正仿宋简体" w:hAnsi="宋体" w:hint="eastAsia"/>
          <w:b/>
          <w:bCs/>
          <w:sz w:val="30"/>
          <w:szCs w:val="30"/>
        </w:rPr>
        <w:t>一</w:t>
      </w:r>
      <w:r>
        <w:rPr>
          <w:rFonts w:ascii="方正仿宋简体" w:eastAsia="方正仿宋简体" w:hAnsi="宋体" w:hint="eastAsia"/>
          <w:b/>
          <w:bCs/>
          <w:sz w:val="30"/>
          <w:szCs w:val="30"/>
        </w:rPr>
        <w:t xml:space="preserve">章  </w:t>
      </w:r>
      <w:r w:rsidRPr="00F9618E">
        <w:rPr>
          <w:rFonts w:ascii="方正仿宋简体" w:eastAsia="方正仿宋简体" w:hAnsi="宋体" w:hint="eastAsia"/>
          <w:b/>
          <w:bCs/>
          <w:sz w:val="30"/>
          <w:szCs w:val="30"/>
        </w:rPr>
        <w:t>总则</w:t>
      </w:r>
    </w:p>
    <w:p w:rsidR="007B2E9D" w:rsidRPr="0036623C" w:rsidRDefault="007B2E9D" w:rsidP="007B2E9D">
      <w:pPr>
        <w:spacing w:line="560" w:lineRule="exact"/>
        <w:ind w:firstLineChars="200" w:firstLine="600"/>
        <w:rPr>
          <w:rFonts w:ascii="方正仿宋简体" w:eastAsia="方正仿宋简体" w:hAnsi="宋体"/>
          <w:sz w:val="30"/>
          <w:szCs w:val="30"/>
        </w:rPr>
      </w:pPr>
      <w:r w:rsidRPr="0036623C">
        <w:rPr>
          <w:rFonts w:ascii="方正仿宋简体" w:eastAsia="方正仿宋简体" w:hAnsi="宋体" w:hint="eastAsia"/>
          <w:sz w:val="30"/>
          <w:szCs w:val="30"/>
        </w:rPr>
        <w:t>第一条  为支持</w:t>
      </w:r>
      <w:r>
        <w:rPr>
          <w:rFonts w:eastAsia="方正仿宋简体" w:hint="eastAsia"/>
          <w:sz w:val="30"/>
          <w:szCs w:val="30"/>
        </w:rPr>
        <w:t>证券公司</w:t>
      </w:r>
      <w:r w:rsidRPr="0036623C">
        <w:rPr>
          <w:rFonts w:ascii="方正仿宋简体" w:eastAsia="方正仿宋简体" w:hAnsi="宋体" w:hint="eastAsia"/>
          <w:sz w:val="30"/>
          <w:szCs w:val="30"/>
        </w:rPr>
        <w:t>做好</w:t>
      </w:r>
      <w:r>
        <w:rPr>
          <w:rFonts w:eastAsia="方正仿宋简体" w:hint="eastAsia"/>
          <w:sz w:val="30"/>
          <w:szCs w:val="30"/>
        </w:rPr>
        <w:t>开展</w:t>
      </w:r>
      <w:r>
        <w:rPr>
          <w:rFonts w:ascii="方正仿宋简体" w:eastAsia="方正仿宋简体" w:hAnsi="宋体" w:hint="eastAsia"/>
          <w:sz w:val="30"/>
          <w:szCs w:val="30"/>
        </w:rPr>
        <w:t>H股“全流通”业务的相关技术准备，根据中国证监会《H股公司境内未上市股份申请“全流通”业务指引》及《H股“全流通”业务实施细则</w:t>
      </w:r>
      <w:r w:rsidRPr="0036623C">
        <w:rPr>
          <w:rFonts w:ascii="方正仿宋简体" w:eastAsia="方正仿宋简体" w:hAnsi="宋体" w:hint="eastAsia"/>
          <w:sz w:val="30"/>
          <w:szCs w:val="30"/>
        </w:rPr>
        <w:t>》</w:t>
      </w:r>
      <w:r>
        <w:rPr>
          <w:rFonts w:ascii="方正仿宋简体" w:eastAsia="方正仿宋简体" w:hAnsi="宋体" w:hint="eastAsia"/>
          <w:sz w:val="30"/>
          <w:szCs w:val="30"/>
        </w:rPr>
        <w:t>等</w:t>
      </w:r>
      <w:r w:rsidRPr="0036623C">
        <w:rPr>
          <w:rFonts w:ascii="方正仿宋简体" w:eastAsia="方正仿宋简体" w:hAnsi="宋体" w:hint="eastAsia"/>
          <w:sz w:val="30"/>
          <w:szCs w:val="30"/>
        </w:rPr>
        <w:t>有关</w:t>
      </w:r>
      <w:r>
        <w:rPr>
          <w:rFonts w:ascii="方正仿宋简体" w:eastAsia="方正仿宋简体" w:hAnsi="宋体" w:hint="eastAsia"/>
          <w:sz w:val="30"/>
          <w:szCs w:val="30"/>
        </w:rPr>
        <w:t>业务规则及</w:t>
      </w:r>
      <w:r w:rsidRPr="0036623C">
        <w:rPr>
          <w:rFonts w:ascii="方正仿宋简体" w:eastAsia="方正仿宋简体" w:hAnsi="宋体" w:hint="eastAsia"/>
          <w:sz w:val="30"/>
          <w:szCs w:val="30"/>
        </w:rPr>
        <w:t>规定，制定本指南。</w:t>
      </w:r>
    </w:p>
    <w:p w:rsidR="007B2E9D" w:rsidRDefault="007B2E9D" w:rsidP="007B2E9D">
      <w:pPr>
        <w:spacing w:line="560" w:lineRule="exact"/>
        <w:ind w:firstLineChars="200" w:firstLine="600"/>
        <w:rPr>
          <w:rFonts w:ascii="方正仿宋简体" w:eastAsia="方正仿宋简体" w:hAnsi="宋体"/>
          <w:sz w:val="30"/>
          <w:szCs w:val="30"/>
        </w:rPr>
      </w:pPr>
      <w:r w:rsidRPr="0036623C">
        <w:rPr>
          <w:rFonts w:ascii="方正仿宋简体" w:eastAsia="方正仿宋简体" w:hAnsi="宋体" w:hint="eastAsia"/>
          <w:sz w:val="30"/>
          <w:szCs w:val="30"/>
        </w:rPr>
        <w:t xml:space="preserve">第二条  </w:t>
      </w:r>
      <w:r>
        <w:rPr>
          <w:rFonts w:ascii="方正仿宋简体" w:eastAsia="方正仿宋简体" w:hAnsi="宋体" w:hint="eastAsia"/>
          <w:sz w:val="30"/>
          <w:szCs w:val="30"/>
        </w:rPr>
        <w:t>中国证券登记结算</w:t>
      </w:r>
      <w:r>
        <w:rPr>
          <w:rFonts w:eastAsia="方正仿宋简体" w:hint="eastAsia"/>
          <w:sz w:val="30"/>
          <w:szCs w:val="30"/>
        </w:rPr>
        <w:t>有限责任</w:t>
      </w:r>
      <w:r>
        <w:rPr>
          <w:rFonts w:ascii="方正仿宋简体" w:eastAsia="方正仿宋简体" w:hAnsi="宋体" w:hint="eastAsia"/>
          <w:sz w:val="30"/>
          <w:szCs w:val="30"/>
        </w:rPr>
        <w:t>公司深圳分公司（以下简称中国结算深圳</w:t>
      </w:r>
      <w:bookmarkStart w:id="0" w:name="_GoBack"/>
      <w:bookmarkEnd w:id="0"/>
      <w:r>
        <w:rPr>
          <w:rFonts w:ascii="方正仿宋简体" w:eastAsia="方正仿宋简体" w:hAnsi="宋体" w:hint="eastAsia"/>
          <w:sz w:val="30"/>
          <w:szCs w:val="30"/>
        </w:rPr>
        <w:t>分公司）及深圳证券通信有限公司（以下简称深证通）为证券公司</w:t>
      </w:r>
      <w:r w:rsidRPr="0036623C">
        <w:rPr>
          <w:rFonts w:ascii="方正仿宋简体" w:eastAsia="方正仿宋简体" w:hAnsi="宋体" w:hint="eastAsia"/>
          <w:sz w:val="30"/>
          <w:szCs w:val="30"/>
        </w:rPr>
        <w:t>提供的</w:t>
      </w:r>
      <w:r>
        <w:rPr>
          <w:rFonts w:ascii="方正仿宋简体" w:eastAsia="方正仿宋简体" w:hAnsi="宋体" w:hint="eastAsia"/>
          <w:sz w:val="30"/>
          <w:szCs w:val="30"/>
        </w:rPr>
        <w:t>H股“全流通”技术系统测试为</w:t>
      </w:r>
      <w:r w:rsidRPr="0036623C">
        <w:rPr>
          <w:rFonts w:ascii="方正仿宋简体" w:eastAsia="方正仿宋简体" w:hAnsi="宋体" w:hint="eastAsia"/>
          <w:sz w:val="30"/>
          <w:szCs w:val="30"/>
        </w:rPr>
        <w:t>仿真测试</w:t>
      </w:r>
      <w:r>
        <w:rPr>
          <w:rFonts w:ascii="方正仿宋简体" w:eastAsia="方正仿宋简体" w:hAnsi="宋体" w:hint="eastAsia"/>
          <w:sz w:val="30"/>
          <w:szCs w:val="30"/>
        </w:rPr>
        <w:t>，在深市独立测试系统进行，涵盖H股“全流通”</w:t>
      </w:r>
      <w:r w:rsidRPr="0036623C">
        <w:rPr>
          <w:rFonts w:ascii="方正仿宋简体" w:eastAsia="方正仿宋简体" w:hAnsi="宋体" w:hint="eastAsia"/>
          <w:sz w:val="30"/>
          <w:szCs w:val="30"/>
        </w:rPr>
        <w:t>交易、结算</w:t>
      </w:r>
      <w:r>
        <w:rPr>
          <w:rFonts w:ascii="方正仿宋简体" w:eastAsia="方正仿宋简体" w:hAnsi="宋体" w:hint="eastAsia"/>
          <w:sz w:val="30"/>
          <w:szCs w:val="30"/>
        </w:rPr>
        <w:t>等</w:t>
      </w:r>
      <w:r w:rsidRPr="0036623C">
        <w:rPr>
          <w:rFonts w:ascii="方正仿宋简体" w:eastAsia="方正仿宋简体" w:hAnsi="宋体" w:hint="eastAsia"/>
          <w:sz w:val="30"/>
          <w:szCs w:val="30"/>
        </w:rPr>
        <w:t>主要业务环节，涉及</w:t>
      </w:r>
      <w:r>
        <w:rPr>
          <w:rFonts w:ascii="方正仿宋简体" w:eastAsia="方正仿宋简体" w:hAnsi="宋体" w:hint="eastAsia"/>
          <w:sz w:val="30"/>
          <w:szCs w:val="30"/>
        </w:rPr>
        <w:t>中国结算深圳分公司</w:t>
      </w:r>
      <w:r w:rsidRPr="0036623C">
        <w:rPr>
          <w:rFonts w:ascii="方正仿宋简体" w:eastAsia="方正仿宋简体" w:hAnsi="宋体" w:hint="eastAsia"/>
          <w:sz w:val="30"/>
          <w:szCs w:val="30"/>
        </w:rPr>
        <w:t>、</w:t>
      </w:r>
      <w:r>
        <w:rPr>
          <w:rFonts w:ascii="方正仿宋简体" w:eastAsia="方正仿宋简体" w:hAnsi="宋体" w:hint="eastAsia"/>
          <w:sz w:val="30"/>
          <w:szCs w:val="30"/>
        </w:rPr>
        <w:t>深证通</w:t>
      </w:r>
      <w:r w:rsidRPr="0036623C">
        <w:rPr>
          <w:rFonts w:ascii="方正仿宋简体" w:eastAsia="方正仿宋简体" w:hAnsi="宋体" w:hint="eastAsia"/>
          <w:sz w:val="30"/>
          <w:szCs w:val="30"/>
        </w:rPr>
        <w:t>、</w:t>
      </w:r>
      <w:r>
        <w:rPr>
          <w:rFonts w:ascii="方正仿宋简体" w:eastAsia="方正仿宋简体" w:hAnsi="宋体" w:hint="eastAsia"/>
          <w:sz w:val="30"/>
          <w:szCs w:val="30"/>
        </w:rPr>
        <w:t>外汇申报银行、境内证券公司及其选择的香港证券公司</w:t>
      </w:r>
      <w:r w:rsidRPr="0036623C">
        <w:rPr>
          <w:rFonts w:ascii="方正仿宋简体" w:eastAsia="方正仿宋简体" w:hAnsi="宋体" w:hint="eastAsia"/>
          <w:sz w:val="30"/>
          <w:szCs w:val="30"/>
        </w:rPr>
        <w:t>等</w:t>
      </w:r>
      <w:r>
        <w:rPr>
          <w:rFonts w:ascii="方正仿宋简体" w:eastAsia="方正仿宋简体" w:hAnsi="宋体" w:hint="eastAsia"/>
          <w:sz w:val="30"/>
          <w:szCs w:val="30"/>
        </w:rPr>
        <w:t>各参与主体</w:t>
      </w:r>
      <w:r w:rsidRPr="0036623C">
        <w:rPr>
          <w:rFonts w:ascii="方正仿宋简体" w:eastAsia="方正仿宋简体" w:hAnsi="宋体" w:hint="eastAsia"/>
          <w:sz w:val="30"/>
          <w:szCs w:val="30"/>
        </w:rPr>
        <w:t>。</w:t>
      </w:r>
    </w:p>
    <w:p w:rsidR="007B2E9D" w:rsidRPr="0036623C"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第三条  境内证券公司及其选择的香港证券公司应当独立完成H股“全流通”技术系统测试，不得有技术系统开发商人员参与。一经发现，取消本次测试资格。</w:t>
      </w:r>
    </w:p>
    <w:p w:rsidR="007B2E9D"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第四条  境内证券公司及其选择的香港证券公司均需通过H股“全流通”技术系统测试，才能申请开展H股“全流通”业务。</w:t>
      </w:r>
    </w:p>
    <w:p w:rsidR="007B2E9D" w:rsidRPr="00BE0B06" w:rsidRDefault="007B2E9D" w:rsidP="007B2E9D">
      <w:pPr>
        <w:spacing w:line="560" w:lineRule="exact"/>
        <w:ind w:firstLineChars="200" w:firstLine="600"/>
        <w:rPr>
          <w:rFonts w:ascii="方正仿宋简体" w:eastAsia="方正仿宋简体" w:hAnsi="宋体"/>
          <w:sz w:val="30"/>
          <w:szCs w:val="30"/>
        </w:rPr>
      </w:pPr>
    </w:p>
    <w:p w:rsidR="007B2E9D" w:rsidRPr="00F9618E" w:rsidRDefault="007B2E9D" w:rsidP="007B2E9D">
      <w:pPr>
        <w:spacing w:line="560" w:lineRule="exact"/>
        <w:jc w:val="center"/>
        <w:rPr>
          <w:rFonts w:ascii="方正仿宋简体" w:eastAsia="方正仿宋简体" w:hAnsi="宋体"/>
          <w:b/>
          <w:bCs/>
          <w:sz w:val="30"/>
          <w:szCs w:val="30"/>
        </w:rPr>
      </w:pPr>
      <w:r>
        <w:rPr>
          <w:rFonts w:ascii="方正仿宋简体" w:eastAsia="方正仿宋简体" w:hAnsi="宋体" w:hint="eastAsia"/>
          <w:b/>
          <w:bCs/>
          <w:sz w:val="30"/>
          <w:szCs w:val="30"/>
        </w:rPr>
        <w:t>第</w:t>
      </w:r>
      <w:r w:rsidRPr="00F9618E">
        <w:rPr>
          <w:rFonts w:ascii="方正仿宋简体" w:eastAsia="方正仿宋简体" w:hAnsi="宋体" w:hint="eastAsia"/>
          <w:b/>
          <w:bCs/>
          <w:sz w:val="30"/>
          <w:szCs w:val="30"/>
        </w:rPr>
        <w:t>二</w:t>
      </w:r>
      <w:r>
        <w:rPr>
          <w:rFonts w:ascii="方正仿宋简体" w:eastAsia="方正仿宋简体" w:hAnsi="宋体" w:hint="eastAsia"/>
          <w:b/>
          <w:bCs/>
          <w:sz w:val="30"/>
          <w:szCs w:val="30"/>
        </w:rPr>
        <w:t xml:space="preserve">章  </w:t>
      </w:r>
      <w:r w:rsidRPr="00F9618E">
        <w:rPr>
          <w:rFonts w:ascii="方正仿宋简体" w:eastAsia="方正仿宋简体" w:hAnsi="宋体" w:hint="eastAsia"/>
          <w:b/>
          <w:bCs/>
          <w:sz w:val="30"/>
          <w:szCs w:val="30"/>
        </w:rPr>
        <w:t>申请</w:t>
      </w:r>
      <w:r>
        <w:rPr>
          <w:rFonts w:ascii="方正仿宋简体" w:eastAsia="方正仿宋简体" w:hAnsi="宋体" w:hint="eastAsia"/>
          <w:b/>
          <w:bCs/>
          <w:sz w:val="30"/>
          <w:szCs w:val="30"/>
        </w:rPr>
        <w:t>流程</w:t>
      </w:r>
    </w:p>
    <w:p w:rsidR="007B2E9D" w:rsidRPr="0036623C" w:rsidRDefault="007B2E9D" w:rsidP="007B2E9D">
      <w:pPr>
        <w:spacing w:line="560" w:lineRule="exact"/>
        <w:ind w:firstLineChars="200" w:firstLine="600"/>
        <w:rPr>
          <w:rFonts w:ascii="方正仿宋简体" w:eastAsia="方正仿宋简体" w:hAnsi="宋体"/>
          <w:sz w:val="30"/>
          <w:szCs w:val="30"/>
        </w:rPr>
      </w:pPr>
      <w:r w:rsidRPr="0036623C">
        <w:rPr>
          <w:rFonts w:ascii="方正仿宋简体" w:eastAsia="方正仿宋简体" w:hAnsi="宋体" w:hint="eastAsia"/>
          <w:sz w:val="30"/>
          <w:szCs w:val="30"/>
        </w:rPr>
        <w:t>第</w:t>
      </w:r>
      <w:r>
        <w:rPr>
          <w:rFonts w:ascii="方正仿宋简体" w:eastAsia="方正仿宋简体" w:hAnsi="宋体" w:hint="eastAsia"/>
          <w:sz w:val="30"/>
          <w:szCs w:val="30"/>
        </w:rPr>
        <w:t>五</w:t>
      </w:r>
      <w:r w:rsidRPr="0036623C">
        <w:rPr>
          <w:rFonts w:ascii="方正仿宋简体" w:eastAsia="方正仿宋简体" w:hAnsi="宋体" w:hint="eastAsia"/>
          <w:sz w:val="30"/>
          <w:szCs w:val="30"/>
        </w:rPr>
        <w:t xml:space="preserve">条  </w:t>
      </w:r>
      <w:r>
        <w:rPr>
          <w:rFonts w:ascii="方正仿宋简体" w:eastAsia="方正仿宋简体" w:hAnsi="宋体" w:hint="eastAsia"/>
          <w:sz w:val="30"/>
          <w:szCs w:val="30"/>
        </w:rPr>
        <w:t>境内证券公司与上市公司达成合作意向后，应制定完备的H股“全流通”业务方案。在境内证券公司及其选择的香港证券公司均完成H股“全流通”</w:t>
      </w:r>
      <w:r w:rsidRPr="0036623C">
        <w:rPr>
          <w:rFonts w:ascii="方正仿宋简体" w:eastAsia="方正仿宋简体" w:hAnsi="宋体" w:hint="eastAsia"/>
          <w:sz w:val="30"/>
          <w:szCs w:val="30"/>
        </w:rPr>
        <w:t>技术系统准备</w:t>
      </w:r>
      <w:r>
        <w:rPr>
          <w:rFonts w:ascii="方正仿宋简体" w:eastAsia="方正仿宋简体" w:hAnsi="宋体" w:hint="eastAsia"/>
          <w:sz w:val="30"/>
          <w:szCs w:val="30"/>
        </w:rPr>
        <w:t>后</w:t>
      </w:r>
      <w:r w:rsidRPr="0036623C">
        <w:rPr>
          <w:rFonts w:ascii="方正仿宋简体" w:eastAsia="方正仿宋简体" w:hAnsi="宋体" w:hint="eastAsia"/>
          <w:sz w:val="30"/>
          <w:szCs w:val="30"/>
        </w:rPr>
        <w:t>，</w:t>
      </w:r>
      <w:r>
        <w:rPr>
          <w:rFonts w:ascii="方正仿宋简体" w:eastAsia="方正仿宋简体" w:hAnsi="宋体" w:hint="eastAsia"/>
          <w:sz w:val="30"/>
          <w:szCs w:val="30"/>
        </w:rPr>
        <w:t>由境内证券公司</w:t>
      </w:r>
      <w:r w:rsidRPr="0036623C">
        <w:rPr>
          <w:rFonts w:ascii="方正仿宋简体" w:eastAsia="方正仿宋简体" w:hAnsi="宋体" w:hint="eastAsia"/>
          <w:sz w:val="30"/>
          <w:szCs w:val="30"/>
        </w:rPr>
        <w:t>向</w:t>
      </w:r>
      <w:r>
        <w:rPr>
          <w:rFonts w:ascii="方正仿宋简体" w:eastAsia="方正仿宋简体" w:hAnsi="宋体" w:hint="eastAsia"/>
          <w:sz w:val="30"/>
          <w:szCs w:val="30"/>
        </w:rPr>
        <w:t>中国结算深圳分公司</w:t>
      </w:r>
      <w:r w:rsidRPr="0036623C">
        <w:rPr>
          <w:rFonts w:ascii="方正仿宋简体" w:eastAsia="方正仿宋简体" w:hAnsi="宋体" w:hint="eastAsia"/>
          <w:sz w:val="30"/>
          <w:szCs w:val="30"/>
        </w:rPr>
        <w:t>提出技术系统测试申请</w:t>
      </w:r>
      <w:r>
        <w:rPr>
          <w:rFonts w:ascii="方正仿宋简体" w:eastAsia="方正仿宋简体" w:hAnsi="宋体" w:hint="eastAsia"/>
          <w:sz w:val="30"/>
          <w:szCs w:val="30"/>
        </w:rPr>
        <w:t>，香港证券公司配合提供相关信息。</w:t>
      </w:r>
    </w:p>
    <w:p w:rsidR="007B2E9D" w:rsidRDefault="007B2E9D" w:rsidP="007B2E9D">
      <w:pPr>
        <w:spacing w:line="560" w:lineRule="exact"/>
        <w:ind w:firstLineChars="200" w:firstLine="600"/>
        <w:rPr>
          <w:rFonts w:ascii="方正仿宋简体" w:eastAsia="方正仿宋简体" w:hAnsi="宋体"/>
          <w:sz w:val="30"/>
          <w:szCs w:val="30"/>
        </w:rPr>
      </w:pPr>
      <w:r w:rsidRPr="0036623C">
        <w:rPr>
          <w:rFonts w:ascii="方正仿宋简体" w:eastAsia="方正仿宋简体" w:hAnsi="宋体" w:hint="eastAsia"/>
          <w:sz w:val="30"/>
          <w:szCs w:val="30"/>
        </w:rPr>
        <w:lastRenderedPageBreak/>
        <w:t>第</w:t>
      </w:r>
      <w:r>
        <w:rPr>
          <w:rFonts w:ascii="方正仿宋简体" w:eastAsia="方正仿宋简体" w:hAnsi="宋体" w:hint="eastAsia"/>
          <w:sz w:val="30"/>
          <w:szCs w:val="30"/>
        </w:rPr>
        <w:t>六</w:t>
      </w:r>
      <w:r w:rsidRPr="0036623C">
        <w:rPr>
          <w:rFonts w:ascii="方正仿宋简体" w:eastAsia="方正仿宋简体" w:hAnsi="宋体" w:hint="eastAsia"/>
          <w:sz w:val="30"/>
          <w:szCs w:val="30"/>
        </w:rPr>
        <w:t xml:space="preserve">条 </w:t>
      </w:r>
      <w:r>
        <w:rPr>
          <w:rFonts w:ascii="方正仿宋简体" w:eastAsia="方正仿宋简体" w:hAnsi="宋体" w:hint="eastAsia"/>
          <w:sz w:val="30"/>
          <w:szCs w:val="30"/>
        </w:rPr>
        <w:t xml:space="preserve"> </w:t>
      </w:r>
      <w:r>
        <w:rPr>
          <w:rFonts w:eastAsia="方正仿宋简体" w:hint="eastAsia"/>
          <w:sz w:val="30"/>
          <w:szCs w:val="30"/>
        </w:rPr>
        <w:t>境内证券公司向中国结算深圳分公司申请开展测试时，应提交《</w:t>
      </w:r>
      <w:r>
        <w:rPr>
          <w:rFonts w:ascii="方正仿宋简体" w:eastAsia="方正仿宋简体" w:hAnsi="宋体" w:hint="eastAsia"/>
          <w:sz w:val="30"/>
          <w:szCs w:val="30"/>
        </w:rPr>
        <w:t>H股“全流通”</w:t>
      </w:r>
      <w:r w:rsidRPr="0036623C">
        <w:rPr>
          <w:rFonts w:ascii="方正仿宋简体" w:eastAsia="方正仿宋简体" w:hAnsi="宋体" w:hint="eastAsia"/>
          <w:sz w:val="30"/>
          <w:szCs w:val="30"/>
        </w:rPr>
        <w:t>技术系统</w:t>
      </w:r>
      <w:r>
        <w:rPr>
          <w:rFonts w:ascii="方正仿宋简体" w:eastAsia="方正仿宋简体" w:hAnsi="宋体" w:hint="eastAsia"/>
          <w:sz w:val="30"/>
          <w:szCs w:val="30"/>
        </w:rPr>
        <w:t>仿真测试</w:t>
      </w:r>
      <w:r>
        <w:rPr>
          <w:rFonts w:eastAsia="方正仿宋简体" w:hint="eastAsia"/>
          <w:sz w:val="30"/>
          <w:szCs w:val="30"/>
        </w:rPr>
        <w:t>申请表》（附件一）、上市公司出具的合作意向说明（附件二）和业务方案，</w:t>
      </w:r>
      <w:r w:rsidRPr="00F8111E">
        <w:rPr>
          <w:rFonts w:eastAsia="方正仿宋简体" w:hint="eastAsia"/>
          <w:sz w:val="30"/>
          <w:szCs w:val="30"/>
        </w:rPr>
        <w:t>并</w:t>
      </w:r>
      <w:r>
        <w:rPr>
          <w:rFonts w:eastAsia="方正仿宋简体" w:hint="eastAsia"/>
          <w:sz w:val="30"/>
          <w:szCs w:val="30"/>
        </w:rPr>
        <w:t>将扫描件</w:t>
      </w:r>
      <w:r w:rsidRPr="00F8111E">
        <w:rPr>
          <w:rFonts w:eastAsia="方正仿宋简体" w:hint="eastAsia"/>
          <w:sz w:val="30"/>
          <w:szCs w:val="30"/>
        </w:rPr>
        <w:t>通过电子邮件发送至</w:t>
      </w:r>
      <w:r w:rsidRPr="00F8111E">
        <w:rPr>
          <w:rFonts w:eastAsia="方正仿宋简体" w:hint="eastAsia"/>
          <w:sz w:val="30"/>
          <w:szCs w:val="30"/>
        </w:rPr>
        <w:t>szjscyr@</w:t>
      </w:r>
      <w:r w:rsidRPr="00F8111E">
        <w:rPr>
          <w:rFonts w:eastAsia="方正仿宋简体"/>
          <w:sz w:val="30"/>
          <w:szCs w:val="30"/>
        </w:rPr>
        <w:t>chinaclear.com.cn</w:t>
      </w:r>
      <w:r>
        <w:rPr>
          <w:rFonts w:eastAsia="方正仿宋简体" w:hint="eastAsia"/>
          <w:sz w:val="30"/>
          <w:szCs w:val="30"/>
        </w:rPr>
        <w:t>。</w:t>
      </w:r>
    </w:p>
    <w:p w:rsidR="007B2E9D" w:rsidRPr="00140E57"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第七</w:t>
      </w:r>
      <w:r w:rsidRPr="0036623C">
        <w:rPr>
          <w:rFonts w:ascii="方正仿宋简体" w:eastAsia="方正仿宋简体" w:hAnsi="宋体" w:hint="eastAsia"/>
          <w:sz w:val="30"/>
          <w:szCs w:val="30"/>
        </w:rPr>
        <w:t xml:space="preserve">条  </w:t>
      </w:r>
      <w:r>
        <w:rPr>
          <w:rFonts w:ascii="方正仿宋简体" w:eastAsia="方正仿宋简体" w:hAnsi="宋体" w:hint="eastAsia"/>
          <w:sz w:val="30"/>
          <w:szCs w:val="30"/>
        </w:rPr>
        <w:t>证券公司未通过测试的，在本次测试结束一个月后，方可再次申请开展测试</w:t>
      </w:r>
      <w:r w:rsidRPr="0036623C">
        <w:rPr>
          <w:rFonts w:ascii="方正仿宋简体" w:eastAsia="方正仿宋简体" w:hAnsi="宋体" w:hint="eastAsia"/>
          <w:sz w:val="30"/>
          <w:szCs w:val="30"/>
        </w:rPr>
        <w:t>，</w:t>
      </w:r>
      <w:r>
        <w:rPr>
          <w:rFonts w:ascii="方正仿宋简体" w:eastAsia="方正仿宋简体" w:hAnsi="宋体" w:hint="eastAsia"/>
          <w:sz w:val="30"/>
          <w:szCs w:val="30"/>
        </w:rPr>
        <w:t>并</w:t>
      </w:r>
      <w:r w:rsidRPr="0036623C">
        <w:rPr>
          <w:rFonts w:ascii="方正仿宋简体" w:eastAsia="方正仿宋简体" w:hAnsi="宋体" w:hint="eastAsia"/>
          <w:sz w:val="30"/>
          <w:szCs w:val="30"/>
        </w:rPr>
        <w:t>重新提交</w:t>
      </w:r>
      <w:r>
        <w:rPr>
          <w:rFonts w:ascii="方正仿宋简体" w:eastAsia="方正仿宋简体" w:hAnsi="宋体" w:hint="eastAsia"/>
          <w:sz w:val="30"/>
          <w:szCs w:val="30"/>
        </w:rPr>
        <w:t>测试申请表</w:t>
      </w:r>
      <w:r w:rsidRPr="0036623C">
        <w:rPr>
          <w:rFonts w:ascii="方正仿宋简体" w:eastAsia="方正仿宋简体" w:hAnsi="宋体" w:hint="eastAsia"/>
          <w:sz w:val="30"/>
          <w:szCs w:val="30"/>
        </w:rPr>
        <w:t>。</w:t>
      </w:r>
    </w:p>
    <w:p w:rsidR="007B2E9D" w:rsidRDefault="007B2E9D" w:rsidP="007B2E9D">
      <w:pPr>
        <w:spacing w:line="560" w:lineRule="exact"/>
        <w:ind w:firstLineChars="200" w:firstLine="600"/>
        <w:rPr>
          <w:rFonts w:ascii="方正仿宋简体" w:eastAsia="方正仿宋简体" w:hAnsi="宋体"/>
          <w:sz w:val="30"/>
          <w:szCs w:val="30"/>
        </w:rPr>
      </w:pPr>
    </w:p>
    <w:p w:rsidR="007B2E9D" w:rsidRPr="001668EF" w:rsidRDefault="007B2E9D" w:rsidP="007B2E9D">
      <w:pPr>
        <w:spacing w:line="560" w:lineRule="exact"/>
        <w:jc w:val="center"/>
        <w:rPr>
          <w:rFonts w:ascii="方正仿宋简体" w:eastAsia="方正仿宋简体" w:hAnsi="宋体"/>
          <w:b/>
          <w:sz w:val="30"/>
          <w:szCs w:val="30"/>
        </w:rPr>
      </w:pPr>
      <w:r w:rsidRPr="001668EF">
        <w:rPr>
          <w:rFonts w:ascii="方正仿宋简体" w:eastAsia="方正仿宋简体" w:hAnsi="宋体" w:hint="eastAsia"/>
          <w:b/>
          <w:sz w:val="30"/>
          <w:szCs w:val="30"/>
        </w:rPr>
        <w:t>第三章  测试安排</w:t>
      </w:r>
    </w:p>
    <w:p w:rsidR="007B2E9D" w:rsidRPr="0036623C"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第八</w:t>
      </w:r>
      <w:r w:rsidRPr="0036623C">
        <w:rPr>
          <w:rFonts w:ascii="方正仿宋简体" w:eastAsia="方正仿宋简体" w:hAnsi="宋体" w:hint="eastAsia"/>
          <w:sz w:val="30"/>
          <w:szCs w:val="30"/>
        </w:rPr>
        <w:t xml:space="preserve">条  </w:t>
      </w:r>
      <w:r>
        <w:rPr>
          <w:rFonts w:ascii="方正仿宋简体" w:eastAsia="方正仿宋简体" w:hAnsi="宋体" w:hint="eastAsia"/>
          <w:sz w:val="30"/>
          <w:szCs w:val="30"/>
        </w:rPr>
        <w:t>中国结算深圳分公司根据证券公司测试申请，会同</w:t>
      </w:r>
      <w:r>
        <w:rPr>
          <w:rFonts w:ascii="方正仿宋简体" w:eastAsia="方正仿宋简体" w:hAnsi="宋体"/>
          <w:sz w:val="30"/>
          <w:szCs w:val="30"/>
        </w:rPr>
        <w:t>深证通、外汇</w:t>
      </w:r>
      <w:r>
        <w:rPr>
          <w:rFonts w:ascii="方正仿宋简体" w:eastAsia="方正仿宋简体" w:hAnsi="宋体" w:hint="eastAsia"/>
          <w:sz w:val="30"/>
          <w:szCs w:val="30"/>
        </w:rPr>
        <w:t>申报</w:t>
      </w:r>
      <w:r>
        <w:rPr>
          <w:rFonts w:ascii="方正仿宋简体" w:eastAsia="方正仿宋简体" w:hAnsi="宋体"/>
          <w:sz w:val="30"/>
          <w:szCs w:val="30"/>
        </w:rPr>
        <w:t>银行确定</w:t>
      </w:r>
      <w:r>
        <w:rPr>
          <w:rFonts w:ascii="方正仿宋简体" w:eastAsia="方正仿宋简体" w:hAnsi="宋体" w:hint="eastAsia"/>
          <w:sz w:val="30"/>
          <w:szCs w:val="30"/>
        </w:rPr>
        <w:t>交易、</w:t>
      </w:r>
      <w:r>
        <w:rPr>
          <w:rFonts w:ascii="方正仿宋简体" w:eastAsia="方正仿宋简体" w:hAnsi="宋体"/>
          <w:sz w:val="30"/>
          <w:szCs w:val="30"/>
        </w:rPr>
        <w:t>结算及外汇申报的</w:t>
      </w:r>
      <w:r>
        <w:rPr>
          <w:rFonts w:ascii="方正仿宋简体" w:eastAsia="方正仿宋简体" w:hAnsi="宋体" w:hint="eastAsia"/>
          <w:sz w:val="30"/>
          <w:szCs w:val="30"/>
        </w:rPr>
        <w:t>技术系统测试开放时间，并以电子邮件方式通知证券公司相关联系人。</w:t>
      </w:r>
    </w:p>
    <w:p w:rsidR="007B2E9D"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第九条  测试在深市独立测试环境进行，测试时间以连续六周为一个测试周期，每个测试周期</w:t>
      </w:r>
      <w:r w:rsidRPr="00ED6C21">
        <w:rPr>
          <w:rFonts w:ascii="方正仿宋简体" w:eastAsia="方正仿宋简体" w:hAnsi="宋体" w:hint="eastAsia"/>
          <w:sz w:val="30"/>
          <w:szCs w:val="30"/>
        </w:rPr>
        <w:t>模拟</w:t>
      </w:r>
      <w:r>
        <w:rPr>
          <w:rFonts w:ascii="方正仿宋简体" w:eastAsia="方正仿宋简体" w:hAnsi="宋体" w:hint="eastAsia"/>
          <w:sz w:val="30"/>
          <w:szCs w:val="30"/>
        </w:rPr>
        <w:t>H股“全流通”行情、交易申报、清算交收、公司行为、非交易、外汇还原申报等业务，以及特殊天气的应急演练</w:t>
      </w:r>
      <w:r w:rsidRPr="00ED6C21">
        <w:rPr>
          <w:rFonts w:ascii="方正仿宋简体" w:eastAsia="方正仿宋简体" w:hAnsi="宋体" w:hint="eastAsia"/>
          <w:sz w:val="30"/>
          <w:szCs w:val="30"/>
        </w:rPr>
        <w:t>。</w:t>
      </w:r>
    </w:p>
    <w:p w:rsidR="007B2E9D" w:rsidRDefault="007B2E9D" w:rsidP="007B2E9D">
      <w:pPr>
        <w:spacing w:line="560" w:lineRule="exact"/>
        <w:ind w:firstLineChars="200" w:firstLine="600"/>
        <w:rPr>
          <w:rFonts w:ascii="方正仿宋简体" w:eastAsia="方正仿宋简体" w:hAnsi="宋体"/>
          <w:sz w:val="30"/>
          <w:szCs w:val="30"/>
        </w:rPr>
      </w:pPr>
      <w:r w:rsidRPr="001668EF">
        <w:rPr>
          <w:rFonts w:ascii="方正仿宋简体" w:eastAsia="方正仿宋简体" w:hAnsi="宋体" w:hint="eastAsia"/>
          <w:sz w:val="30"/>
          <w:szCs w:val="30"/>
        </w:rPr>
        <w:t>第</w:t>
      </w:r>
      <w:r>
        <w:rPr>
          <w:rFonts w:ascii="方正仿宋简体" w:eastAsia="方正仿宋简体" w:hAnsi="宋体" w:hint="eastAsia"/>
          <w:sz w:val="30"/>
          <w:szCs w:val="30"/>
        </w:rPr>
        <w:t>十</w:t>
      </w:r>
      <w:r w:rsidRPr="001668EF">
        <w:rPr>
          <w:rFonts w:ascii="方正仿宋简体" w:eastAsia="方正仿宋简体" w:hAnsi="宋体" w:hint="eastAsia"/>
          <w:sz w:val="30"/>
          <w:szCs w:val="30"/>
        </w:rPr>
        <w:t xml:space="preserve">条  </w:t>
      </w:r>
      <w:r>
        <w:rPr>
          <w:rFonts w:ascii="方正仿宋简体" w:eastAsia="方正仿宋简体" w:hAnsi="宋体" w:hint="eastAsia"/>
          <w:sz w:val="30"/>
          <w:szCs w:val="30"/>
        </w:rPr>
        <w:t>证券公司</w:t>
      </w:r>
      <w:r w:rsidRPr="001668EF">
        <w:rPr>
          <w:rFonts w:ascii="方正仿宋简体" w:eastAsia="方正仿宋简体" w:hAnsi="宋体" w:hint="eastAsia"/>
          <w:sz w:val="30"/>
          <w:szCs w:val="30"/>
        </w:rPr>
        <w:t>应当确认用于仿真测试的交易</w:t>
      </w:r>
      <w:r>
        <w:rPr>
          <w:rFonts w:ascii="方正仿宋简体" w:eastAsia="方正仿宋简体" w:hAnsi="宋体" w:hint="eastAsia"/>
          <w:sz w:val="30"/>
          <w:szCs w:val="30"/>
        </w:rPr>
        <w:t>单元及托管</w:t>
      </w:r>
      <w:r w:rsidRPr="001668EF">
        <w:rPr>
          <w:rFonts w:ascii="方正仿宋简体" w:eastAsia="方正仿宋简体" w:hAnsi="宋体" w:hint="eastAsia"/>
          <w:sz w:val="30"/>
          <w:szCs w:val="30"/>
        </w:rPr>
        <w:t>单元已在</w:t>
      </w:r>
      <w:r>
        <w:rPr>
          <w:rFonts w:ascii="方正仿宋简体" w:eastAsia="方正仿宋简体" w:hAnsi="宋体" w:hint="eastAsia"/>
          <w:sz w:val="30"/>
          <w:szCs w:val="30"/>
        </w:rPr>
        <w:t>深市</w:t>
      </w:r>
      <w:r w:rsidRPr="001668EF">
        <w:rPr>
          <w:rFonts w:ascii="方正仿宋简体" w:eastAsia="方正仿宋简体" w:hAnsi="宋体" w:hint="eastAsia"/>
          <w:sz w:val="30"/>
          <w:szCs w:val="30"/>
        </w:rPr>
        <w:t>独立测试系统内</w:t>
      </w:r>
      <w:r>
        <w:rPr>
          <w:rFonts w:ascii="方正仿宋简体" w:eastAsia="方正仿宋简体" w:hAnsi="宋体" w:hint="eastAsia"/>
          <w:sz w:val="30"/>
          <w:szCs w:val="30"/>
        </w:rPr>
        <w:t>。</w:t>
      </w:r>
    </w:p>
    <w:p w:rsidR="007B2E9D"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第十一条  证券公司应当严格按照</w:t>
      </w:r>
      <w:r w:rsidRPr="001668EF">
        <w:rPr>
          <w:rFonts w:ascii="方正仿宋简体" w:eastAsia="方正仿宋简体" w:hAnsi="宋体" w:hint="eastAsia"/>
          <w:sz w:val="30"/>
          <w:szCs w:val="30"/>
        </w:rPr>
        <w:t>《</w:t>
      </w:r>
      <w:r>
        <w:rPr>
          <w:rFonts w:ascii="方正仿宋简体" w:eastAsia="方正仿宋简体" w:hAnsi="宋体" w:hint="eastAsia"/>
          <w:sz w:val="30"/>
          <w:szCs w:val="30"/>
        </w:rPr>
        <w:t>H股“全流通”业务</w:t>
      </w:r>
      <w:r w:rsidRPr="001668EF">
        <w:rPr>
          <w:rFonts w:ascii="方正仿宋简体" w:eastAsia="方正仿宋简体" w:hAnsi="宋体" w:hint="eastAsia"/>
          <w:sz w:val="30"/>
          <w:szCs w:val="30"/>
        </w:rPr>
        <w:t>仿真测试方案》（以下简称《仿真测试方案》）的接入步骤和要求，与</w:t>
      </w:r>
      <w:r>
        <w:rPr>
          <w:rFonts w:ascii="方正仿宋简体" w:eastAsia="方正仿宋简体" w:hAnsi="宋体" w:hint="eastAsia"/>
          <w:sz w:val="30"/>
          <w:szCs w:val="30"/>
        </w:rPr>
        <w:t>中国结算深圳分公司及深证通的技术</w:t>
      </w:r>
      <w:r w:rsidRPr="001668EF">
        <w:rPr>
          <w:rFonts w:ascii="方正仿宋简体" w:eastAsia="方正仿宋简体" w:hAnsi="宋体" w:hint="eastAsia"/>
          <w:sz w:val="30"/>
          <w:szCs w:val="30"/>
        </w:rPr>
        <w:t>系统进行连接并开始测试，并严格按照《仿真测试方案》中的测试内容和测试时间安排参与测试。</w:t>
      </w:r>
    </w:p>
    <w:p w:rsidR="007B2E9D" w:rsidRDefault="007B2E9D" w:rsidP="007B2E9D">
      <w:pPr>
        <w:spacing w:line="560" w:lineRule="exact"/>
        <w:ind w:firstLineChars="200" w:firstLine="600"/>
        <w:rPr>
          <w:rFonts w:ascii="方正仿宋简体" w:eastAsia="方正仿宋简体" w:hAnsi="宋体"/>
          <w:sz w:val="30"/>
          <w:szCs w:val="30"/>
        </w:rPr>
      </w:pPr>
      <w:r w:rsidRPr="0036623C">
        <w:rPr>
          <w:rFonts w:ascii="方正仿宋简体" w:eastAsia="方正仿宋简体" w:hAnsi="宋体" w:hint="eastAsia"/>
          <w:sz w:val="30"/>
          <w:szCs w:val="30"/>
        </w:rPr>
        <w:t>第十</w:t>
      </w:r>
      <w:r>
        <w:rPr>
          <w:rFonts w:ascii="方正仿宋简体" w:eastAsia="方正仿宋简体" w:hAnsi="宋体" w:hint="eastAsia"/>
          <w:sz w:val="30"/>
          <w:szCs w:val="30"/>
        </w:rPr>
        <w:t>二</w:t>
      </w:r>
      <w:r w:rsidRPr="0036623C">
        <w:rPr>
          <w:rFonts w:ascii="方正仿宋简体" w:eastAsia="方正仿宋简体" w:hAnsi="宋体" w:hint="eastAsia"/>
          <w:sz w:val="30"/>
          <w:szCs w:val="30"/>
        </w:rPr>
        <w:t xml:space="preserve">条  </w:t>
      </w:r>
      <w:r>
        <w:rPr>
          <w:rFonts w:ascii="方正仿宋简体" w:eastAsia="方正仿宋简体" w:hAnsi="宋体" w:hint="eastAsia"/>
          <w:sz w:val="30"/>
          <w:szCs w:val="30"/>
        </w:rPr>
        <w:t>证券公司在测试中应当</w:t>
      </w:r>
      <w:r w:rsidRPr="0036623C">
        <w:rPr>
          <w:rFonts w:ascii="方正仿宋简体" w:eastAsia="方正仿宋简体" w:hAnsi="宋体" w:hint="eastAsia"/>
          <w:sz w:val="30"/>
          <w:szCs w:val="30"/>
        </w:rPr>
        <w:t>详细记录测试内容</w:t>
      </w:r>
      <w:r>
        <w:rPr>
          <w:rFonts w:ascii="方正仿宋简体" w:eastAsia="方正仿宋简体" w:hAnsi="宋体" w:hint="eastAsia"/>
          <w:sz w:val="30"/>
          <w:szCs w:val="30"/>
        </w:rPr>
        <w:t>和</w:t>
      </w:r>
      <w:r w:rsidRPr="0036623C">
        <w:rPr>
          <w:rFonts w:ascii="方正仿宋简体" w:eastAsia="方正仿宋简体" w:hAnsi="宋体" w:hint="eastAsia"/>
          <w:sz w:val="30"/>
          <w:szCs w:val="30"/>
        </w:rPr>
        <w:t>结果，妥善保存业务数据备份、书面操作记录和审批记录等，</w:t>
      </w:r>
      <w:r>
        <w:rPr>
          <w:rFonts w:ascii="方正仿宋简体" w:eastAsia="方正仿宋简体" w:hAnsi="宋体" w:hint="eastAsia"/>
          <w:sz w:val="30"/>
          <w:szCs w:val="30"/>
        </w:rPr>
        <w:t>在测</w:t>
      </w:r>
      <w:r>
        <w:rPr>
          <w:rFonts w:ascii="方正仿宋简体" w:eastAsia="方正仿宋简体" w:hAnsi="宋体" w:hint="eastAsia"/>
          <w:sz w:val="30"/>
          <w:szCs w:val="30"/>
        </w:rPr>
        <w:lastRenderedPageBreak/>
        <w:t>试期内</w:t>
      </w:r>
      <w:r w:rsidRPr="0036623C">
        <w:rPr>
          <w:rFonts w:ascii="方正仿宋简体" w:eastAsia="方正仿宋简体" w:hAnsi="宋体" w:hint="eastAsia"/>
          <w:sz w:val="30"/>
          <w:szCs w:val="30"/>
        </w:rPr>
        <w:t>每</w:t>
      </w:r>
      <w:r>
        <w:rPr>
          <w:rFonts w:ascii="方正仿宋简体" w:eastAsia="方正仿宋简体" w:hAnsi="宋体" w:hint="eastAsia"/>
          <w:sz w:val="30"/>
          <w:szCs w:val="30"/>
        </w:rPr>
        <w:t>周二</w:t>
      </w:r>
      <w:r w:rsidRPr="0036623C">
        <w:rPr>
          <w:rFonts w:ascii="方正仿宋简体" w:eastAsia="方正仿宋简体" w:hAnsi="宋体" w:hint="eastAsia"/>
          <w:sz w:val="30"/>
          <w:szCs w:val="30"/>
        </w:rPr>
        <w:t>提交上</w:t>
      </w:r>
      <w:r>
        <w:rPr>
          <w:rFonts w:ascii="方正仿宋简体" w:eastAsia="方正仿宋简体" w:hAnsi="宋体" w:hint="eastAsia"/>
          <w:sz w:val="30"/>
          <w:szCs w:val="30"/>
        </w:rPr>
        <w:t>周测</w:t>
      </w:r>
      <w:r w:rsidRPr="0036623C">
        <w:rPr>
          <w:rFonts w:ascii="方正仿宋简体" w:eastAsia="方正仿宋简体" w:hAnsi="宋体" w:hint="eastAsia"/>
          <w:sz w:val="30"/>
          <w:szCs w:val="30"/>
        </w:rPr>
        <w:t>试记录</w:t>
      </w:r>
      <w:r>
        <w:rPr>
          <w:rFonts w:ascii="方正仿宋简体" w:eastAsia="方正仿宋简体" w:hAnsi="宋体" w:hint="eastAsia"/>
          <w:sz w:val="30"/>
          <w:szCs w:val="30"/>
        </w:rPr>
        <w:t>，并</w:t>
      </w:r>
      <w:r>
        <w:rPr>
          <w:rFonts w:eastAsia="方正仿宋简体" w:hint="eastAsia"/>
          <w:sz w:val="30"/>
          <w:szCs w:val="30"/>
        </w:rPr>
        <w:t>按照《仿真测试方案》的要求</w:t>
      </w:r>
      <w:r>
        <w:rPr>
          <w:rFonts w:ascii="方正仿宋简体" w:eastAsia="方正仿宋简体" w:hAnsi="宋体" w:hint="eastAsia"/>
          <w:sz w:val="30"/>
          <w:szCs w:val="30"/>
        </w:rPr>
        <w:t>在测试周期结束后向中国结算深圳分公司报送测试结果。对于</w:t>
      </w:r>
      <w:r>
        <w:rPr>
          <w:rFonts w:ascii="方正仿宋简体" w:eastAsia="方正仿宋简体" w:hAnsi="宋体"/>
          <w:sz w:val="30"/>
          <w:szCs w:val="30"/>
        </w:rPr>
        <w:t>测试中</w:t>
      </w:r>
      <w:r>
        <w:rPr>
          <w:rFonts w:ascii="方正仿宋简体" w:eastAsia="方正仿宋简体" w:hAnsi="宋体" w:hint="eastAsia"/>
          <w:sz w:val="30"/>
          <w:szCs w:val="30"/>
        </w:rPr>
        <w:t>交易环节、结算</w:t>
      </w:r>
      <w:r>
        <w:rPr>
          <w:rFonts w:ascii="方正仿宋简体" w:eastAsia="方正仿宋简体" w:hAnsi="宋体"/>
          <w:sz w:val="30"/>
          <w:szCs w:val="30"/>
        </w:rPr>
        <w:t>环节、</w:t>
      </w:r>
      <w:r>
        <w:rPr>
          <w:rFonts w:ascii="方正仿宋简体" w:eastAsia="方正仿宋简体" w:hAnsi="宋体" w:hint="eastAsia"/>
          <w:sz w:val="30"/>
          <w:szCs w:val="30"/>
        </w:rPr>
        <w:t>外汇</w:t>
      </w:r>
      <w:r>
        <w:rPr>
          <w:rFonts w:ascii="方正仿宋简体" w:eastAsia="方正仿宋简体" w:hAnsi="宋体"/>
          <w:sz w:val="30"/>
          <w:szCs w:val="30"/>
        </w:rPr>
        <w:t>申报环节的问题，应</w:t>
      </w:r>
      <w:r>
        <w:rPr>
          <w:rFonts w:ascii="方正仿宋简体" w:eastAsia="方正仿宋简体" w:hAnsi="宋体" w:hint="eastAsia"/>
          <w:sz w:val="30"/>
          <w:szCs w:val="30"/>
        </w:rPr>
        <w:t>分别</w:t>
      </w:r>
      <w:r>
        <w:rPr>
          <w:rFonts w:ascii="方正仿宋简体" w:eastAsia="方正仿宋简体" w:hAnsi="宋体"/>
          <w:sz w:val="30"/>
          <w:szCs w:val="30"/>
        </w:rPr>
        <w:t>及时联系</w:t>
      </w:r>
      <w:r>
        <w:rPr>
          <w:rFonts w:ascii="方正仿宋简体" w:eastAsia="方正仿宋简体" w:hAnsi="宋体" w:hint="eastAsia"/>
          <w:sz w:val="30"/>
          <w:szCs w:val="30"/>
        </w:rPr>
        <w:t>深证通、</w:t>
      </w:r>
      <w:r>
        <w:rPr>
          <w:rFonts w:ascii="方正仿宋简体" w:eastAsia="方正仿宋简体" w:hAnsi="宋体"/>
          <w:sz w:val="30"/>
          <w:szCs w:val="30"/>
        </w:rPr>
        <w:t>中国结算深圳分公司及外汇</w:t>
      </w:r>
      <w:r>
        <w:rPr>
          <w:rFonts w:ascii="方正仿宋简体" w:eastAsia="方正仿宋简体" w:hAnsi="宋体" w:hint="eastAsia"/>
          <w:sz w:val="30"/>
          <w:szCs w:val="30"/>
        </w:rPr>
        <w:t>申报</w:t>
      </w:r>
      <w:r>
        <w:rPr>
          <w:rFonts w:ascii="方正仿宋简体" w:eastAsia="方正仿宋简体" w:hAnsi="宋体"/>
          <w:sz w:val="30"/>
          <w:szCs w:val="30"/>
        </w:rPr>
        <w:t>银行解决。</w:t>
      </w:r>
    </w:p>
    <w:p w:rsidR="007B2E9D"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中国结算深圳分公司联合深证通、外汇申报银行对证券公司参与测试情况进行每日监控，并在测试</w:t>
      </w:r>
      <w:r w:rsidRPr="0036623C">
        <w:rPr>
          <w:rFonts w:ascii="方正仿宋简体" w:eastAsia="方正仿宋简体" w:hAnsi="宋体" w:hint="eastAsia"/>
          <w:sz w:val="30"/>
          <w:szCs w:val="30"/>
        </w:rPr>
        <w:t>结束后</w:t>
      </w:r>
      <w:r>
        <w:rPr>
          <w:rFonts w:ascii="方正仿宋简体" w:eastAsia="方正仿宋简体" w:hAnsi="宋体" w:hint="eastAsia"/>
          <w:sz w:val="30"/>
          <w:szCs w:val="30"/>
        </w:rPr>
        <w:t>结合证券公司反馈的测试结果，</w:t>
      </w:r>
      <w:r w:rsidRPr="0036623C">
        <w:rPr>
          <w:rFonts w:ascii="方正仿宋简体" w:eastAsia="方正仿宋简体" w:hAnsi="宋体" w:hint="eastAsia"/>
          <w:sz w:val="30"/>
          <w:szCs w:val="30"/>
        </w:rPr>
        <w:t>对其整体参测情况进行评估</w:t>
      </w:r>
      <w:r>
        <w:rPr>
          <w:rFonts w:ascii="方正仿宋简体" w:eastAsia="方正仿宋简体" w:hAnsi="宋体" w:hint="eastAsia"/>
          <w:sz w:val="30"/>
          <w:szCs w:val="30"/>
        </w:rPr>
        <w:t>。</w:t>
      </w:r>
    </w:p>
    <w:p w:rsidR="007B2E9D" w:rsidRPr="0036623C" w:rsidRDefault="007B2E9D" w:rsidP="007B2E9D">
      <w:pPr>
        <w:spacing w:line="560" w:lineRule="exact"/>
        <w:ind w:firstLineChars="200" w:firstLine="600"/>
        <w:rPr>
          <w:rFonts w:ascii="方正仿宋简体" w:eastAsia="方正仿宋简体" w:hAnsi="宋体"/>
          <w:sz w:val="30"/>
          <w:szCs w:val="30"/>
        </w:rPr>
      </w:pPr>
      <w:r w:rsidRPr="0036623C">
        <w:rPr>
          <w:rFonts w:ascii="方正仿宋简体" w:eastAsia="方正仿宋简体" w:hAnsi="宋体" w:hint="eastAsia"/>
          <w:sz w:val="30"/>
          <w:szCs w:val="30"/>
        </w:rPr>
        <w:t>第十</w:t>
      </w:r>
      <w:r>
        <w:rPr>
          <w:rFonts w:ascii="方正仿宋简体" w:eastAsia="方正仿宋简体" w:hAnsi="宋体" w:hint="eastAsia"/>
          <w:sz w:val="30"/>
          <w:szCs w:val="30"/>
        </w:rPr>
        <w:t>三</w:t>
      </w:r>
      <w:r w:rsidRPr="0036623C">
        <w:rPr>
          <w:rFonts w:ascii="方正仿宋简体" w:eastAsia="方正仿宋简体" w:hAnsi="宋体" w:hint="eastAsia"/>
          <w:sz w:val="30"/>
          <w:szCs w:val="30"/>
        </w:rPr>
        <w:t>条</w:t>
      </w:r>
      <w:r>
        <w:rPr>
          <w:rFonts w:ascii="方正仿宋简体" w:eastAsia="方正仿宋简体" w:hAnsi="宋体" w:hint="eastAsia"/>
          <w:sz w:val="30"/>
          <w:szCs w:val="30"/>
        </w:rPr>
        <w:t xml:space="preserve">  仿真测试评估</w:t>
      </w:r>
      <w:r w:rsidRPr="0036623C">
        <w:rPr>
          <w:rFonts w:ascii="方正仿宋简体" w:eastAsia="方正仿宋简体" w:hAnsi="宋体" w:hint="eastAsia"/>
          <w:sz w:val="30"/>
          <w:szCs w:val="30"/>
        </w:rPr>
        <w:t>标准如下：</w:t>
      </w:r>
    </w:p>
    <w:p w:rsidR="007B2E9D" w:rsidRDefault="007B2E9D" w:rsidP="007B2E9D">
      <w:pPr>
        <w:spacing w:line="560" w:lineRule="exact"/>
        <w:ind w:firstLineChars="200" w:firstLine="600"/>
        <w:rPr>
          <w:rFonts w:ascii="方正仿宋简体" w:eastAsia="方正仿宋简体" w:hAnsi="宋体"/>
          <w:sz w:val="30"/>
          <w:szCs w:val="30"/>
        </w:rPr>
      </w:pPr>
      <w:r w:rsidRPr="0036623C">
        <w:rPr>
          <w:rFonts w:eastAsia="方正仿宋简体" w:hint="eastAsia"/>
          <w:sz w:val="30"/>
          <w:szCs w:val="30"/>
        </w:rPr>
        <w:t>1</w:t>
      </w:r>
      <w:r>
        <w:rPr>
          <w:rFonts w:ascii="方正仿宋简体" w:eastAsia="方正仿宋简体" w:hAnsi="宋体" w:hint="eastAsia"/>
          <w:sz w:val="30"/>
          <w:szCs w:val="30"/>
        </w:rPr>
        <w:t>、证券公司完成《仿真测试方案》要求的全部测试内容</w:t>
      </w:r>
      <w:r w:rsidRPr="0036623C">
        <w:rPr>
          <w:rFonts w:ascii="方正仿宋简体" w:eastAsia="方正仿宋简体" w:hAnsi="宋体" w:hint="eastAsia"/>
          <w:sz w:val="30"/>
          <w:szCs w:val="30"/>
        </w:rPr>
        <w:t>且均测试通过；</w:t>
      </w:r>
    </w:p>
    <w:p w:rsidR="007B2E9D" w:rsidRPr="00E911F7" w:rsidRDefault="007B2E9D" w:rsidP="007B2E9D">
      <w:pPr>
        <w:spacing w:line="560" w:lineRule="exact"/>
        <w:ind w:firstLineChars="200" w:firstLine="600"/>
        <w:rPr>
          <w:rFonts w:ascii="方正仿宋简体" w:eastAsia="方正仿宋简体" w:hAnsi="宋体"/>
          <w:sz w:val="30"/>
          <w:szCs w:val="30"/>
        </w:rPr>
      </w:pPr>
      <w:r w:rsidRPr="0036623C">
        <w:rPr>
          <w:rFonts w:eastAsia="方正仿宋简体" w:hint="eastAsia"/>
          <w:sz w:val="30"/>
          <w:szCs w:val="30"/>
        </w:rPr>
        <w:t>2</w:t>
      </w:r>
      <w:r>
        <w:rPr>
          <w:rFonts w:ascii="方正仿宋简体" w:eastAsia="方正仿宋简体" w:hAnsi="宋体" w:hint="eastAsia"/>
          <w:sz w:val="30"/>
          <w:szCs w:val="30"/>
        </w:rPr>
        <w:t>、证券公司</w:t>
      </w:r>
      <w:r w:rsidRPr="0036623C">
        <w:rPr>
          <w:rFonts w:ascii="方正仿宋简体" w:eastAsia="方正仿宋简体" w:hAnsi="宋体" w:hint="eastAsia"/>
          <w:sz w:val="30"/>
          <w:szCs w:val="30"/>
        </w:rPr>
        <w:t>在测试周期内</w:t>
      </w:r>
      <w:r>
        <w:rPr>
          <w:rFonts w:ascii="方正仿宋简体" w:eastAsia="方正仿宋简体" w:hAnsi="宋体" w:hint="eastAsia"/>
          <w:sz w:val="30"/>
          <w:szCs w:val="30"/>
        </w:rPr>
        <w:t>完成普通交易和大宗交易的交易申报，累计交易申报笔数不少于500笔且成交笔数占比不低于90%，且能正确的进行股票交易的外汇额度控制</w:t>
      </w:r>
      <w:r w:rsidRPr="0036623C">
        <w:rPr>
          <w:rFonts w:ascii="方正仿宋简体" w:eastAsia="方正仿宋简体" w:hAnsi="宋体" w:hint="eastAsia"/>
          <w:sz w:val="30"/>
          <w:szCs w:val="30"/>
        </w:rPr>
        <w:t>；</w:t>
      </w:r>
    </w:p>
    <w:p w:rsidR="007B2E9D" w:rsidRPr="0036623C" w:rsidRDefault="007B2E9D" w:rsidP="007B2E9D">
      <w:pPr>
        <w:spacing w:line="560" w:lineRule="exact"/>
        <w:ind w:firstLineChars="200" w:firstLine="600"/>
        <w:rPr>
          <w:rFonts w:ascii="方正仿宋简体" w:eastAsia="方正仿宋简体" w:hAnsi="宋体"/>
          <w:sz w:val="30"/>
          <w:szCs w:val="30"/>
        </w:rPr>
      </w:pPr>
      <w:r w:rsidRPr="0036623C">
        <w:rPr>
          <w:rFonts w:eastAsia="方正仿宋简体" w:hint="eastAsia"/>
          <w:sz w:val="30"/>
          <w:szCs w:val="30"/>
        </w:rPr>
        <w:t>3</w:t>
      </w:r>
      <w:r>
        <w:rPr>
          <w:rFonts w:ascii="方正仿宋简体" w:eastAsia="方正仿宋简体" w:hAnsi="宋体" w:hint="eastAsia"/>
          <w:sz w:val="30"/>
          <w:szCs w:val="30"/>
        </w:rPr>
        <w:t>、证券公司在测试周期内完成各种公司行为业务及股份冻结解冻等非交易业务的申报，每类业务的成功申报指令不低于20笔；</w:t>
      </w:r>
    </w:p>
    <w:p w:rsidR="007B2E9D" w:rsidRDefault="007B2E9D" w:rsidP="007B2E9D">
      <w:pPr>
        <w:spacing w:line="560" w:lineRule="exact"/>
        <w:ind w:firstLineChars="200" w:firstLine="600"/>
        <w:rPr>
          <w:rFonts w:ascii="方正仿宋简体" w:eastAsia="方正仿宋简体" w:hAnsi="宋体"/>
          <w:sz w:val="30"/>
          <w:szCs w:val="30"/>
        </w:rPr>
      </w:pPr>
      <w:r>
        <w:rPr>
          <w:rFonts w:eastAsia="方正仿宋简体" w:hint="eastAsia"/>
          <w:sz w:val="30"/>
          <w:szCs w:val="30"/>
        </w:rPr>
        <w:t>4</w:t>
      </w:r>
      <w:r>
        <w:rPr>
          <w:rFonts w:ascii="方正仿宋简体" w:eastAsia="方正仿宋简体" w:hAnsi="宋体" w:hint="eastAsia"/>
          <w:sz w:val="30"/>
          <w:szCs w:val="30"/>
        </w:rPr>
        <w:t>、除模拟交收失败的场景外，所有已成交交易的清算交收正常；</w:t>
      </w:r>
    </w:p>
    <w:p w:rsidR="007B2E9D"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5、能正常处理特殊天气安排下的业务应急测试场景；</w:t>
      </w:r>
    </w:p>
    <w:p w:rsidR="007B2E9D" w:rsidRDefault="007B2E9D" w:rsidP="007B2E9D">
      <w:pPr>
        <w:spacing w:line="560" w:lineRule="exact"/>
        <w:ind w:firstLineChars="200" w:firstLine="600"/>
        <w:rPr>
          <w:rFonts w:ascii="方正仿宋简体" w:eastAsia="方正仿宋简体" w:hAnsi="宋体"/>
          <w:sz w:val="30"/>
          <w:szCs w:val="30"/>
        </w:rPr>
      </w:pPr>
      <w:r>
        <w:rPr>
          <w:rFonts w:eastAsia="方正仿宋简体" w:hint="eastAsia"/>
          <w:sz w:val="30"/>
          <w:szCs w:val="30"/>
        </w:rPr>
        <w:t>6</w:t>
      </w:r>
      <w:r>
        <w:rPr>
          <w:rFonts w:eastAsia="方正仿宋简体" w:hint="eastAsia"/>
          <w:sz w:val="30"/>
          <w:szCs w:val="30"/>
        </w:rPr>
        <w:t>、</w:t>
      </w:r>
      <w:r>
        <w:rPr>
          <w:rFonts w:ascii="方正仿宋简体" w:eastAsia="方正仿宋简体" w:hAnsi="宋体" w:hint="eastAsia"/>
          <w:sz w:val="30"/>
          <w:szCs w:val="30"/>
        </w:rPr>
        <w:t>中国结算深圳分公司</w:t>
      </w:r>
      <w:r w:rsidRPr="0036623C">
        <w:rPr>
          <w:rFonts w:ascii="方正仿宋简体" w:eastAsia="方正仿宋简体" w:hAnsi="宋体" w:hint="eastAsia"/>
          <w:sz w:val="30"/>
          <w:szCs w:val="30"/>
        </w:rPr>
        <w:t>要求的其他事项</w:t>
      </w:r>
      <w:r>
        <w:rPr>
          <w:rFonts w:ascii="方正仿宋简体" w:eastAsia="方正仿宋简体" w:hAnsi="宋体" w:hint="eastAsia"/>
          <w:sz w:val="30"/>
          <w:szCs w:val="30"/>
        </w:rPr>
        <w:t>。</w:t>
      </w:r>
    </w:p>
    <w:p w:rsidR="007B2E9D" w:rsidRDefault="007B2E9D" w:rsidP="007B2E9D">
      <w:pPr>
        <w:autoSpaceDE w:val="0"/>
        <w:autoSpaceDN w:val="0"/>
        <w:adjustRightInd w:val="0"/>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第十四条  对于达到仿真测试标准的证券公司</w:t>
      </w:r>
      <w:r w:rsidRPr="0036623C">
        <w:rPr>
          <w:rFonts w:ascii="方正仿宋简体" w:eastAsia="方正仿宋简体" w:hAnsi="宋体" w:hint="eastAsia"/>
          <w:sz w:val="30"/>
          <w:szCs w:val="30"/>
        </w:rPr>
        <w:t>，</w:t>
      </w:r>
      <w:r w:rsidRPr="00916EA8">
        <w:rPr>
          <w:rFonts w:ascii="方正仿宋简体" w:eastAsia="方正仿宋简体" w:hAnsi="宋体" w:hint="eastAsia"/>
          <w:sz w:val="30"/>
          <w:szCs w:val="30"/>
        </w:rPr>
        <w:t>经中国结算深圳分公司、深证通及外汇申报银行确认</w:t>
      </w:r>
      <w:r>
        <w:rPr>
          <w:rFonts w:ascii="方正仿宋简体" w:eastAsia="方正仿宋简体" w:hAnsi="宋体" w:hint="eastAsia"/>
          <w:sz w:val="30"/>
          <w:szCs w:val="30"/>
        </w:rPr>
        <w:t>(</w:t>
      </w:r>
      <w:r>
        <w:rPr>
          <w:rFonts w:eastAsia="方正仿宋简体" w:hint="eastAsia"/>
          <w:sz w:val="30"/>
          <w:szCs w:val="30"/>
        </w:rPr>
        <w:t>确认表见附件三</w:t>
      </w:r>
      <w:r>
        <w:rPr>
          <w:rFonts w:ascii="方正仿宋简体" w:eastAsia="方正仿宋简体" w:hAnsi="宋体" w:hint="eastAsia"/>
          <w:sz w:val="30"/>
          <w:szCs w:val="30"/>
        </w:rPr>
        <w:t>)</w:t>
      </w:r>
      <w:r w:rsidRPr="00916EA8">
        <w:rPr>
          <w:rFonts w:ascii="方正仿宋简体" w:eastAsia="方正仿宋简体" w:hAnsi="宋体" w:hint="eastAsia"/>
          <w:sz w:val="30"/>
          <w:szCs w:val="30"/>
        </w:rPr>
        <w:t>测试通过后，可</w:t>
      </w:r>
      <w:r>
        <w:rPr>
          <w:rFonts w:ascii="方正仿宋简体" w:eastAsia="方正仿宋简体" w:hAnsi="宋体" w:hint="eastAsia"/>
          <w:sz w:val="30"/>
          <w:szCs w:val="30"/>
        </w:rPr>
        <w:t>向</w:t>
      </w:r>
      <w:r>
        <w:rPr>
          <w:rFonts w:ascii="方正仿宋简体" w:eastAsia="方正仿宋简体" w:hAnsi="宋体"/>
          <w:sz w:val="30"/>
          <w:szCs w:val="30"/>
        </w:rPr>
        <w:t>深证通</w:t>
      </w:r>
      <w:r>
        <w:rPr>
          <w:rFonts w:ascii="方正仿宋简体" w:eastAsia="方正仿宋简体" w:hAnsi="宋体" w:hint="eastAsia"/>
          <w:sz w:val="30"/>
          <w:szCs w:val="30"/>
        </w:rPr>
        <w:t>申请办理H股</w:t>
      </w:r>
      <w:r>
        <w:rPr>
          <w:rFonts w:ascii="方正仿宋简体" w:eastAsia="方正仿宋简体" w:hAnsi="宋体"/>
          <w:sz w:val="30"/>
          <w:szCs w:val="30"/>
        </w:rPr>
        <w:t>“</w:t>
      </w:r>
      <w:r>
        <w:rPr>
          <w:rFonts w:ascii="方正仿宋简体" w:eastAsia="方正仿宋简体" w:hAnsi="宋体" w:hint="eastAsia"/>
          <w:sz w:val="30"/>
          <w:szCs w:val="30"/>
        </w:rPr>
        <w:t>全流通</w:t>
      </w:r>
      <w:r>
        <w:rPr>
          <w:rFonts w:ascii="方正仿宋简体" w:eastAsia="方正仿宋简体" w:hAnsi="宋体"/>
          <w:sz w:val="30"/>
          <w:szCs w:val="30"/>
        </w:rPr>
        <w:t>”</w:t>
      </w:r>
      <w:r>
        <w:rPr>
          <w:rFonts w:ascii="方正仿宋简体" w:eastAsia="方正仿宋简体" w:hAnsi="宋体"/>
          <w:sz w:val="30"/>
          <w:szCs w:val="30"/>
        </w:rPr>
        <w:t>交易</w:t>
      </w:r>
      <w:r>
        <w:rPr>
          <w:rFonts w:ascii="方正仿宋简体" w:eastAsia="方正仿宋简体" w:hAnsi="宋体" w:hint="eastAsia"/>
          <w:sz w:val="30"/>
          <w:szCs w:val="30"/>
        </w:rPr>
        <w:t>业务的</w:t>
      </w:r>
      <w:r w:rsidRPr="00916EA8">
        <w:rPr>
          <w:rFonts w:ascii="方正仿宋简体" w:eastAsia="方正仿宋简体" w:hAnsi="宋体" w:hint="eastAsia"/>
          <w:sz w:val="30"/>
          <w:szCs w:val="30"/>
        </w:rPr>
        <w:t>开通事宜</w:t>
      </w:r>
      <w:r>
        <w:rPr>
          <w:rFonts w:ascii="方正仿宋简体" w:eastAsia="方正仿宋简体" w:hAnsi="宋体" w:hint="eastAsia"/>
          <w:sz w:val="30"/>
          <w:szCs w:val="30"/>
        </w:rPr>
        <w:t>，</w:t>
      </w:r>
      <w:r>
        <w:rPr>
          <w:rFonts w:ascii="方正仿宋简体" w:eastAsia="方正仿宋简体" w:hAnsi="宋体"/>
          <w:sz w:val="30"/>
          <w:szCs w:val="30"/>
        </w:rPr>
        <w:t>向</w:t>
      </w:r>
      <w:r>
        <w:rPr>
          <w:rFonts w:ascii="方正仿宋简体" w:eastAsia="方正仿宋简体" w:hAnsi="宋体" w:hint="eastAsia"/>
          <w:sz w:val="30"/>
          <w:szCs w:val="30"/>
        </w:rPr>
        <w:t>中国</w:t>
      </w:r>
      <w:r>
        <w:rPr>
          <w:rFonts w:ascii="方正仿宋简体" w:eastAsia="方正仿宋简体" w:hAnsi="宋体"/>
          <w:sz w:val="30"/>
          <w:szCs w:val="30"/>
        </w:rPr>
        <w:t>结算深圳分公司</w:t>
      </w:r>
      <w:r>
        <w:rPr>
          <w:rFonts w:ascii="方正仿宋简体" w:eastAsia="方正仿宋简体" w:hAnsi="宋体" w:hint="eastAsia"/>
          <w:sz w:val="30"/>
          <w:szCs w:val="30"/>
        </w:rPr>
        <w:t>申请办理结算</w:t>
      </w:r>
      <w:r>
        <w:rPr>
          <w:rFonts w:ascii="方正仿宋简体" w:eastAsia="方正仿宋简体" w:hAnsi="宋体"/>
          <w:sz w:val="30"/>
          <w:szCs w:val="30"/>
        </w:rPr>
        <w:t>业务的</w:t>
      </w:r>
      <w:r w:rsidRPr="00916EA8">
        <w:rPr>
          <w:rFonts w:ascii="方正仿宋简体" w:eastAsia="方正仿宋简体" w:hAnsi="宋体" w:hint="eastAsia"/>
          <w:sz w:val="30"/>
          <w:szCs w:val="30"/>
        </w:rPr>
        <w:t>开通事宜。</w:t>
      </w:r>
    </w:p>
    <w:p w:rsidR="007B2E9D"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lastRenderedPageBreak/>
        <w:t>第十五</w:t>
      </w:r>
      <w:r>
        <w:rPr>
          <w:rFonts w:ascii="方正仿宋简体" w:eastAsia="方正仿宋简体" w:hAnsi="宋体"/>
          <w:sz w:val="30"/>
          <w:szCs w:val="30"/>
        </w:rPr>
        <w:t>条</w:t>
      </w:r>
      <w:r>
        <w:rPr>
          <w:rFonts w:ascii="方正仿宋简体" w:eastAsia="方正仿宋简体" w:hAnsi="宋体" w:hint="eastAsia"/>
          <w:sz w:val="30"/>
          <w:szCs w:val="30"/>
        </w:rPr>
        <w:t xml:space="preserve">  中国结算深圳分公司和深证通择机安排业务通关测试，证券公司测试通过后方可正式开展业务。</w:t>
      </w:r>
    </w:p>
    <w:p w:rsidR="007B2E9D" w:rsidRDefault="007B2E9D" w:rsidP="007B2E9D">
      <w:pPr>
        <w:spacing w:line="560" w:lineRule="exact"/>
        <w:ind w:firstLineChars="200" w:firstLine="600"/>
        <w:jc w:val="center"/>
        <w:rPr>
          <w:rFonts w:ascii="方正仿宋简体" w:eastAsia="方正仿宋简体" w:hAnsi="宋体"/>
          <w:sz w:val="30"/>
          <w:szCs w:val="30"/>
        </w:rPr>
      </w:pPr>
      <w:r w:rsidRPr="00916EA8">
        <w:rPr>
          <w:rFonts w:ascii="方正仿宋简体" w:eastAsia="方正仿宋简体" w:hAnsi="宋体" w:hint="eastAsia"/>
          <w:b/>
          <w:sz w:val="30"/>
          <w:szCs w:val="30"/>
        </w:rPr>
        <w:t>第四章附则</w:t>
      </w:r>
    </w:p>
    <w:p w:rsidR="007B2E9D"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第十六条  本指南由中国结算深圳分公司和深证通负责解释。</w:t>
      </w:r>
    </w:p>
    <w:p w:rsidR="007B2E9D" w:rsidRPr="00D76FB9" w:rsidRDefault="007B2E9D" w:rsidP="007B2E9D">
      <w:pPr>
        <w:spacing w:line="560" w:lineRule="exact"/>
        <w:ind w:firstLineChars="200" w:firstLine="600"/>
        <w:rPr>
          <w:rFonts w:ascii="方正仿宋简体" w:eastAsia="方正仿宋简体" w:hAnsi="宋体"/>
          <w:sz w:val="30"/>
          <w:szCs w:val="30"/>
        </w:rPr>
      </w:pPr>
      <w:r>
        <w:rPr>
          <w:rFonts w:ascii="方正仿宋简体" w:eastAsia="方正仿宋简体" w:hAnsi="宋体" w:hint="eastAsia"/>
          <w:sz w:val="30"/>
          <w:szCs w:val="30"/>
        </w:rPr>
        <w:t>第十七条   本指南自公布之日起施行。</w:t>
      </w:r>
    </w:p>
    <w:p w:rsidR="007B2E9D" w:rsidRDefault="007B2E9D" w:rsidP="007B2E9D">
      <w:pPr>
        <w:ind w:right="600" w:firstLine="300"/>
        <w:rPr>
          <w:szCs w:val="21"/>
        </w:rPr>
      </w:pPr>
      <w:r>
        <w:rPr>
          <w:rFonts w:ascii="方正仿宋简体" w:eastAsia="方正仿宋简体" w:hAnsi="宋体"/>
          <w:sz w:val="30"/>
          <w:szCs w:val="30"/>
        </w:rPr>
        <w:br w:type="page"/>
      </w:r>
      <w:r w:rsidRPr="0027589E">
        <w:rPr>
          <w:rFonts w:ascii="方正仿宋简体" w:eastAsia="方正仿宋简体" w:hAnsi="宋体" w:hint="eastAsia"/>
          <w:sz w:val="30"/>
          <w:szCs w:val="30"/>
        </w:rPr>
        <w:lastRenderedPageBreak/>
        <w:t>附件</w:t>
      </w:r>
      <w:r>
        <w:rPr>
          <w:rFonts w:ascii="方正仿宋简体" w:eastAsia="方正仿宋简体" w:hAnsi="宋体" w:hint="eastAsia"/>
          <w:sz w:val="30"/>
          <w:szCs w:val="30"/>
        </w:rPr>
        <w:t>一</w:t>
      </w:r>
      <w:r w:rsidRPr="0027589E">
        <w:rPr>
          <w:rFonts w:ascii="方正仿宋简体" w:eastAsia="方正仿宋简体" w:hAnsi="宋体" w:hint="eastAsia"/>
          <w:sz w:val="30"/>
          <w:szCs w:val="30"/>
        </w:rPr>
        <w:t>：</w:t>
      </w:r>
    </w:p>
    <w:p w:rsidR="007B2E9D" w:rsidRPr="00F81BEE" w:rsidRDefault="007B2E9D" w:rsidP="007B2E9D">
      <w:pPr>
        <w:ind w:leftChars="-342" w:left="-718" w:firstLineChars="100" w:firstLine="320"/>
        <w:jc w:val="center"/>
        <w:rPr>
          <w:rFonts w:ascii="方正仿宋简体" w:eastAsia="方正仿宋简体" w:hAnsi="宋体" w:cstheme="majorBidi"/>
          <w:b/>
          <w:bCs/>
          <w:sz w:val="32"/>
          <w:szCs w:val="32"/>
        </w:rPr>
      </w:pPr>
      <w:r w:rsidRPr="00F81BEE">
        <w:rPr>
          <w:rFonts w:ascii="方正仿宋简体" w:eastAsia="方正仿宋简体" w:hAnsi="宋体" w:cstheme="majorBidi" w:hint="eastAsia"/>
          <w:b/>
          <w:bCs/>
          <w:sz w:val="32"/>
          <w:szCs w:val="32"/>
        </w:rPr>
        <w:t>H股“全流通”</w:t>
      </w:r>
      <w:r>
        <w:rPr>
          <w:rFonts w:ascii="方正仿宋简体" w:eastAsia="方正仿宋简体" w:hAnsi="宋体" w:cstheme="majorBidi" w:hint="eastAsia"/>
          <w:b/>
          <w:bCs/>
          <w:sz w:val="32"/>
          <w:szCs w:val="32"/>
        </w:rPr>
        <w:t>技术系统</w:t>
      </w:r>
      <w:r w:rsidRPr="00F81BEE">
        <w:rPr>
          <w:rFonts w:ascii="方正仿宋简体" w:eastAsia="方正仿宋简体" w:hAnsi="宋体" w:cstheme="majorBidi" w:hint="eastAsia"/>
          <w:b/>
          <w:bCs/>
          <w:sz w:val="32"/>
          <w:szCs w:val="32"/>
        </w:rPr>
        <w:t>仿真测试申请表</w:t>
      </w:r>
    </w:p>
    <w:tbl>
      <w:tblPr>
        <w:tblStyle w:val="a7"/>
        <w:tblW w:w="8961" w:type="dxa"/>
        <w:tblInd w:w="-3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2156"/>
        <w:gridCol w:w="432"/>
        <w:gridCol w:w="287"/>
        <w:gridCol w:w="1005"/>
        <w:gridCol w:w="1581"/>
        <w:gridCol w:w="1005"/>
        <w:gridCol w:w="1139"/>
        <w:gridCol w:w="1356"/>
      </w:tblGrid>
      <w:tr w:rsidR="007B2E9D" w:rsidTr="00AF448F">
        <w:trPr>
          <w:trHeight w:val="559"/>
        </w:trPr>
        <w:tc>
          <w:tcPr>
            <w:tcW w:w="2156" w:type="dxa"/>
            <w:tcBorders>
              <w:bottom w:val="single" w:sz="4" w:space="0" w:color="auto"/>
              <w:right w:val="single" w:sz="4" w:space="0" w:color="auto"/>
            </w:tcBorders>
          </w:tcPr>
          <w:p w:rsidR="007B2E9D" w:rsidRPr="0020272C" w:rsidRDefault="007B2E9D" w:rsidP="00AF448F">
            <w:pPr>
              <w:spacing w:after="156"/>
            </w:pPr>
            <w:r>
              <w:rPr>
                <w:rFonts w:hint="eastAsia"/>
              </w:rPr>
              <w:t>境内</w:t>
            </w:r>
            <w:r w:rsidRPr="0020272C">
              <w:rPr>
                <w:rFonts w:hint="eastAsia"/>
              </w:rPr>
              <w:t>证券公司名称</w:t>
            </w:r>
          </w:p>
        </w:tc>
        <w:tc>
          <w:tcPr>
            <w:tcW w:w="6805" w:type="dxa"/>
            <w:gridSpan w:val="7"/>
            <w:tcBorders>
              <w:left w:val="single" w:sz="4" w:space="0" w:color="auto"/>
              <w:bottom w:val="single" w:sz="4" w:space="0" w:color="auto"/>
            </w:tcBorders>
          </w:tcPr>
          <w:p w:rsidR="007B2E9D" w:rsidRPr="00F81BEE" w:rsidRDefault="007B2E9D" w:rsidP="00AF448F">
            <w:pPr>
              <w:spacing w:after="156"/>
              <w:rPr>
                <w:sz w:val="24"/>
              </w:rPr>
            </w:pPr>
          </w:p>
        </w:tc>
      </w:tr>
      <w:tr w:rsidR="007B2E9D" w:rsidTr="00AF448F">
        <w:trPr>
          <w:trHeight w:val="494"/>
        </w:trPr>
        <w:tc>
          <w:tcPr>
            <w:tcW w:w="2156" w:type="dxa"/>
            <w:tcBorders>
              <w:top w:val="single" w:sz="4" w:space="0" w:color="auto"/>
              <w:bottom w:val="single" w:sz="4" w:space="0" w:color="auto"/>
              <w:right w:val="single" w:sz="4" w:space="0" w:color="auto"/>
            </w:tcBorders>
          </w:tcPr>
          <w:p w:rsidR="007B2E9D" w:rsidRPr="0020272C" w:rsidRDefault="007B2E9D" w:rsidP="00AF448F">
            <w:pPr>
              <w:spacing w:after="156"/>
            </w:pPr>
            <w:r w:rsidRPr="0020272C">
              <w:rPr>
                <w:rFonts w:hint="eastAsia"/>
              </w:rPr>
              <w:t>香港证券公司名称</w:t>
            </w:r>
          </w:p>
        </w:tc>
        <w:tc>
          <w:tcPr>
            <w:tcW w:w="6805" w:type="dxa"/>
            <w:gridSpan w:val="7"/>
            <w:tcBorders>
              <w:top w:val="single" w:sz="4" w:space="0" w:color="auto"/>
              <w:left w:val="single" w:sz="4" w:space="0" w:color="auto"/>
              <w:bottom w:val="single" w:sz="4" w:space="0" w:color="auto"/>
            </w:tcBorders>
          </w:tcPr>
          <w:p w:rsidR="007B2E9D" w:rsidRPr="00F81BEE" w:rsidRDefault="007B2E9D" w:rsidP="00AF448F">
            <w:pPr>
              <w:spacing w:after="156"/>
              <w:rPr>
                <w:sz w:val="24"/>
              </w:rPr>
            </w:pPr>
          </w:p>
        </w:tc>
      </w:tr>
      <w:tr w:rsidR="007B2E9D" w:rsidTr="00AF448F">
        <w:trPr>
          <w:trHeight w:val="510"/>
        </w:trPr>
        <w:tc>
          <w:tcPr>
            <w:tcW w:w="8961" w:type="dxa"/>
            <w:gridSpan w:val="8"/>
            <w:tcBorders>
              <w:top w:val="single" w:sz="4" w:space="0" w:color="auto"/>
              <w:bottom w:val="single" w:sz="4" w:space="0" w:color="auto"/>
            </w:tcBorders>
          </w:tcPr>
          <w:p w:rsidR="007B2E9D" w:rsidRPr="0020272C" w:rsidRDefault="007B2E9D" w:rsidP="00AF448F">
            <w:pPr>
              <w:spacing w:after="156"/>
              <w:jc w:val="center"/>
            </w:pPr>
            <w:r w:rsidRPr="0020272C">
              <w:rPr>
                <w:rFonts w:hint="eastAsia"/>
              </w:rPr>
              <w:t>申请测试信息</w:t>
            </w:r>
          </w:p>
        </w:tc>
      </w:tr>
      <w:tr w:rsidR="007B2E9D" w:rsidTr="00AF448F">
        <w:trPr>
          <w:trHeight w:val="371"/>
        </w:trPr>
        <w:tc>
          <w:tcPr>
            <w:tcW w:w="2875" w:type="dxa"/>
            <w:gridSpan w:val="3"/>
            <w:tcBorders>
              <w:top w:val="single" w:sz="4" w:space="0" w:color="auto"/>
              <w:bottom w:val="single" w:sz="4" w:space="0" w:color="auto"/>
              <w:right w:val="single" w:sz="4" w:space="0" w:color="auto"/>
            </w:tcBorders>
          </w:tcPr>
          <w:p w:rsidR="007B2E9D" w:rsidRPr="0020272C" w:rsidRDefault="007B2E9D" w:rsidP="00AF448F">
            <w:pPr>
              <w:spacing w:after="156"/>
            </w:pPr>
            <w:r>
              <w:rPr>
                <w:rFonts w:hint="eastAsia"/>
              </w:rPr>
              <w:t>境内</w:t>
            </w:r>
            <w:r w:rsidRPr="0020272C">
              <w:rPr>
                <w:rFonts w:hint="eastAsia"/>
              </w:rPr>
              <w:t>证券公司测试交易单元</w:t>
            </w:r>
          </w:p>
        </w:tc>
        <w:tc>
          <w:tcPr>
            <w:tcW w:w="6086" w:type="dxa"/>
            <w:gridSpan w:val="5"/>
            <w:tcBorders>
              <w:top w:val="single" w:sz="4" w:space="0" w:color="auto"/>
              <w:left w:val="single" w:sz="4" w:space="0" w:color="auto"/>
              <w:bottom w:val="single" w:sz="4" w:space="0" w:color="auto"/>
            </w:tcBorders>
          </w:tcPr>
          <w:p w:rsidR="007B2E9D" w:rsidRPr="0020272C" w:rsidRDefault="007B2E9D" w:rsidP="00AF448F">
            <w:pPr>
              <w:spacing w:after="156"/>
            </w:pPr>
          </w:p>
        </w:tc>
      </w:tr>
      <w:tr w:rsidR="007B2E9D" w:rsidTr="00AF448F">
        <w:trPr>
          <w:trHeight w:val="288"/>
        </w:trPr>
        <w:tc>
          <w:tcPr>
            <w:tcW w:w="2875" w:type="dxa"/>
            <w:gridSpan w:val="3"/>
            <w:tcBorders>
              <w:top w:val="single" w:sz="4" w:space="0" w:color="auto"/>
              <w:bottom w:val="single" w:sz="4" w:space="0" w:color="auto"/>
              <w:right w:val="single" w:sz="4" w:space="0" w:color="auto"/>
            </w:tcBorders>
          </w:tcPr>
          <w:p w:rsidR="007B2E9D" w:rsidRPr="0020272C" w:rsidRDefault="007B2E9D" w:rsidP="00AF448F">
            <w:pPr>
              <w:spacing w:after="156"/>
            </w:pPr>
            <w:r>
              <w:rPr>
                <w:rFonts w:hint="eastAsia"/>
              </w:rPr>
              <w:t>境内</w:t>
            </w:r>
            <w:r w:rsidRPr="0020272C">
              <w:rPr>
                <w:rFonts w:hint="eastAsia"/>
              </w:rPr>
              <w:t>证券公司测试托管单元</w:t>
            </w:r>
          </w:p>
        </w:tc>
        <w:tc>
          <w:tcPr>
            <w:tcW w:w="6086" w:type="dxa"/>
            <w:gridSpan w:val="5"/>
            <w:tcBorders>
              <w:top w:val="single" w:sz="4" w:space="0" w:color="auto"/>
              <w:left w:val="single" w:sz="4" w:space="0" w:color="auto"/>
              <w:bottom w:val="single" w:sz="4" w:space="0" w:color="auto"/>
            </w:tcBorders>
          </w:tcPr>
          <w:p w:rsidR="007B2E9D" w:rsidRPr="0020272C" w:rsidRDefault="007B2E9D" w:rsidP="00AF448F">
            <w:pPr>
              <w:spacing w:after="156"/>
            </w:pPr>
          </w:p>
        </w:tc>
      </w:tr>
      <w:tr w:rsidR="007B2E9D" w:rsidTr="00AF448F">
        <w:trPr>
          <w:trHeight w:val="288"/>
        </w:trPr>
        <w:tc>
          <w:tcPr>
            <w:tcW w:w="2875" w:type="dxa"/>
            <w:gridSpan w:val="3"/>
            <w:tcBorders>
              <w:top w:val="single" w:sz="4" w:space="0" w:color="auto"/>
              <w:bottom w:val="single" w:sz="4" w:space="0" w:color="auto"/>
              <w:right w:val="single" w:sz="4" w:space="0" w:color="auto"/>
            </w:tcBorders>
          </w:tcPr>
          <w:p w:rsidR="007B2E9D" w:rsidRPr="0020272C" w:rsidRDefault="007B2E9D" w:rsidP="00AF448F">
            <w:pPr>
              <w:spacing w:after="156"/>
            </w:pPr>
            <w:r>
              <w:rPr>
                <w:rFonts w:hint="eastAsia"/>
              </w:rPr>
              <w:t>香港证券公司</w:t>
            </w:r>
            <w:r>
              <w:rPr>
                <w:rFonts w:hint="eastAsia"/>
              </w:rPr>
              <w:t>CCASS ID</w:t>
            </w:r>
          </w:p>
        </w:tc>
        <w:tc>
          <w:tcPr>
            <w:tcW w:w="6086" w:type="dxa"/>
            <w:gridSpan w:val="5"/>
            <w:tcBorders>
              <w:top w:val="single" w:sz="4" w:space="0" w:color="auto"/>
              <w:left w:val="single" w:sz="4" w:space="0" w:color="auto"/>
              <w:bottom w:val="single" w:sz="4" w:space="0" w:color="auto"/>
            </w:tcBorders>
          </w:tcPr>
          <w:p w:rsidR="007B2E9D" w:rsidRPr="0020272C" w:rsidRDefault="007B2E9D" w:rsidP="00AF448F">
            <w:pPr>
              <w:spacing w:after="156"/>
            </w:pPr>
          </w:p>
        </w:tc>
      </w:tr>
      <w:tr w:rsidR="007B2E9D" w:rsidTr="00AF448F">
        <w:trPr>
          <w:trHeight w:val="473"/>
        </w:trPr>
        <w:tc>
          <w:tcPr>
            <w:tcW w:w="8961" w:type="dxa"/>
            <w:gridSpan w:val="8"/>
            <w:tcBorders>
              <w:top w:val="single" w:sz="4" w:space="0" w:color="auto"/>
              <w:bottom w:val="single" w:sz="4" w:space="0" w:color="auto"/>
            </w:tcBorders>
          </w:tcPr>
          <w:p w:rsidR="007B2E9D" w:rsidRPr="0020272C" w:rsidRDefault="007B2E9D" w:rsidP="00AF448F">
            <w:pPr>
              <w:spacing w:after="156"/>
              <w:jc w:val="center"/>
            </w:pPr>
            <w:r>
              <w:rPr>
                <w:rFonts w:hint="eastAsia"/>
              </w:rPr>
              <w:t>测试人员信息</w:t>
            </w:r>
          </w:p>
        </w:tc>
      </w:tr>
      <w:tr w:rsidR="007B2E9D" w:rsidTr="00AF448F">
        <w:trPr>
          <w:trHeight w:val="278"/>
        </w:trPr>
        <w:tc>
          <w:tcPr>
            <w:tcW w:w="2588" w:type="dxa"/>
            <w:gridSpan w:val="2"/>
            <w:tcBorders>
              <w:top w:val="single" w:sz="4" w:space="0" w:color="auto"/>
              <w:bottom w:val="single" w:sz="4" w:space="0" w:color="auto"/>
              <w:right w:val="single" w:sz="4" w:space="0" w:color="auto"/>
            </w:tcBorders>
          </w:tcPr>
          <w:p w:rsidR="007B2E9D" w:rsidRDefault="007B2E9D" w:rsidP="00AF448F">
            <w:pPr>
              <w:spacing w:after="156"/>
              <w:jc w:val="center"/>
            </w:pPr>
          </w:p>
        </w:tc>
        <w:tc>
          <w:tcPr>
            <w:tcW w:w="1292" w:type="dxa"/>
            <w:gridSpan w:val="2"/>
            <w:tcBorders>
              <w:top w:val="single" w:sz="4" w:space="0" w:color="auto"/>
              <w:left w:val="single" w:sz="4" w:space="0" w:color="auto"/>
              <w:bottom w:val="single" w:sz="4" w:space="0" w:color="auto"/>
            </w:tcBorders>
          </w:tcPr>
          <w:p w:rsidR="007B2E9D" w:rsidRDefault="007B2E9D" w:rsidP="00AF448F">
            <w:pPr>
              <w:spacing w:after="156"/>
              <w:jc w:val="center"/>
            </w:pPr>
            <w:r>
              <w:rPr>
                <w:rFonts w:hint="eastAsia"/>
              </w:rPr>
              <w:t>姓名</w:t>
            </w:r>
          </w:p>
        </w:tc>
        <w:tc>
          <w:tcPr>
            <w:tcW w:w="1581" w:type="dxa"/>
            <w:tcBorders>
              <w:top w:val="single" w:sz="4" w:space="0" w:color="auto"/>
              <w:left w:val="single" w:sz="4" w:space="0" w:color="auto"/>
              <w:bottom w:val="single" w:sz="4" w:space="0" w:color="auto"/>
            </w:tcBorders>
          </w:tcPr>
          <w:p w:rsidR="007B2E9D" w:rsidRDefault="007B2E9D" w:rsidP="00AF448F">
            <w:pPr>
              <w:spacing w:after="156"/>
              <w:jc w:val="center"/>
            </w:pPr>
            <w:r>
              <w:rPr>
                <w:rFonts w:hint="eastAsia"/>
              </w:rPr>
              <w:t>部门及职位</w:t>
            </w:r>
          </w:p>
        </w:tc>
        <w:tc>
          <w:tcPr>
            <w:tcW w:w="1005" w:type="dxa"/>
            <w:tcBorders>
              <w:top w:val="single" w:sz="4" w:space="0" w:color="auto"/>
              <w:left w:val="single" w:sz="4" w:space="0" w:color="auto"/>
              <w:bottom w:val="single" w:sz="4" w:space="0" w:color="auto"/>
            </w:tcBorders>
          </w:tcPr>
          <w:p w:rsidR="007B2E9D" w:rsidRDefault="007B2E9D" w:rsidP="00AF448F">
            <w:pPr>
              <w:spacing w:after="156"/>
              <w:jc w:val="center"/>
            </w:pPr>
            <w:r>
              <w:rPr>
                <w:rFonts w:hint="eastAsia"/>
              </w:rPr>
              <w:t>电话</w:t>
            </w:r>
          </w:p>
        </w:tc>
        <w:tc>
          <w:tcPr>
            <w:tcW w:w="1139" w:type="dxa"/>
            <w:tcBorders>
              <w:top w:val="single" w:sz="4" w:space="0" w:color="auto"/>
              <w:left w:val="single" w:sz="4" w:space="0" w:color="auto"/>
              <w:bottom w:val="single" w:sz="4" w:space="0" w:color="auto"/>
            </w:tcBorders>
          </w:tcPr>
          <w:p w:rsidR="007B2E9D" w:rsidRDefault="007B2E9D" w:rsidP="00AF448F">
            <w:pPr>
              <w:spacing w:after="156"/>
              <w:jc w:val="center"/>
            </w:pPr>
            <w:r>
              <w:rPr>
                <w:rFonts w:hint="eastAsia"/>
              </w:rPr>
              <w:t>手机</w:t>
            </w:r>
          </w:p>
        </w:tc>
        <w:tc>
          <w:tcPr>
            <w:tcW w:w="1355" w:type="dxa"/>
            <w:tcBorders>
              <w:top w:val="single" w:sz="4" w:space="0" w:color="auto"/>
              <w:left w:val="single" w:sz="4" w:space="0" w:color="auto"/>
              <w:bottom w:val="single" w:sz="4" w:space="0" w:color="auto"/>
            </w:tcBorders>
          </w:tcPr>
          <w:p w:rsidR="007B2E9D" w:rsidRDefault="007B2E9D" w:rsidP="00AF448F">
            <w:pPr>
              <w:spacing w:after="156"/>
              <w:jc w:val="center"/>
            </w:pPr>
            <w:r>
              <w:rPr>
                <w:rFonts w:hint="eastAsia"/>
              </w:rPr>
              <w:t>电子邮箱</w:t>
            </w:r>
          </w:p>
        </w:tc>
      </w:tr>
      <w:tr w:rsidR="007B2E9D" w:rsidTr="00AF448F">
        <w:trPr>
          <w:trHeight w:val="339"/>
        </w:trPr>
        <w:tc>
          <w:tcPr>
            <w:tcW w:w="2588" w:type="dxa"/>
            <w:gridSpan w:val="2"/>
            <w:tcBorders>
              <w:top w:val="single" w:sz="4" w:space="0" w:color="auto"/>
              <w:bottom w:val="single" w:sz="4" w:space="0" w:color="auto"/>
              <w:right w:val="single" w:sz="4" w:space="0" w:color="auto"/>
            </w:tcBorders>
          </w:tcPr>
          <w:p w:rsidR="007B2E9D" w:rsidRDefault="007B2E9D" w:rsidP="00AF448F">
            <w:pPr>
              <w:spacing w:after="156"/>
              <w:jc w:val="center"/>
            </w:pPr>
            <w:r>
              <w:rPr>
                <w:rFonts w:hint="eastAsia"/>
              </w:rPr>
              <w:t>境内证券公司技术负责人</w:t>
            </w:r>
          </w:p>
        </w:tc>
        <w:tc>
          <w:tcPr>
            <w:tcW w:w="1292" w:type="dxa"/>
            <w:gridSpan w:val="2"/>
            <w:tcBorders>
              <w:top w:val="single" w:sz="4" w:space="0" w:color="auto"/>
              <w:left w:val="single" w:sz="4" w:space="0" w:color="auto"/>
              <w:bottom w:val="single" w:sz="4" w:space="0" w:color="auto"/>
            </w:tcBorders>
          </w:tcPr>
          <w:p w:rsidR="007B2E9D" w:rsidRDefault="007B2E9D" w:rsidP="00AF448F">
            <w:pPr>
              <w:spacing w:after="156"/>
              <w:jc w:val="center"/>
            </w:pPr>
          </w:p>
        </w:tc>
        <w:tc>
          <w:tcPr>
            <w:tcW w:w="1581"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005"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139"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355" w:type="dxa"/>
            <w:tcBorders>
              <w:top w:val="single" w:sz="4" w:space="0" w:color="auto"/>
              <w:left w:val="single" w:sz="4" w:space="0" w:color="auto"/>
              <w:bottom w:val="single" w:sz="4" w:space="0" w:color="auto"/>
            </w:tcBorders>
          </w:tcPr>
          <w:p w:rsidR="007B2E9D" w:rsidRDefault="007B2E9D" w:rsidP="00AF448F">
            <w:pPr>
              <w:spacing w:after="156"/>
              <w:jc w:val="center"/>
            </w:pPr>
          </w:p>
        </w:tc>
      </w:tr>
      <w:tr w:rsidR="007B2E9D" w:rsidTr="00AF448F">
        <w:trPr>
          <w:trHeight w:val="318"/>
        </w:trPr>
        <w:tc>
          <w:tcPr>
            <w:tcW w:w="2588" w:type="dxa"/>
            <w:gridSpan w:val="2"/>
            <w:tcBorders>
              <w:top w:val="single" w:sz="4" w:space="0" w:color="auto"/>
              <w:bottom w:val="single" w:sz="4" w:space="0" w:color="auto"/>
              <w:right w:val="single" w:sz="4" w:space="0" w:color="auto"/>
            </w:tcBorders>
          </w:tcPr>
          <w:p w:rsidR="007B2E9D" w:rsidRDefault="007B2E9D" w:rsidP="00AF448F">
            <w:pPr>
              <w:spacing w:after="156"/>
              <w:jc w:val="center"/>
            </w:pPr>
            <w:r>
              <w:rPr>
                <w:rFonts w:hint="eastAsia"/>
              </w:rPr>
              <w:t>境内证券公司测试人员</w:t>
            </w:r>
          </w:p>
        </w:tc>
        <w:tc>
          <w:tcPr>
            <w:tcW w:w="1292" w:type="dxa"/>
            <w:gridSpan w:val="2"/>
            <w:tcBorders>
              <w:top w:val="single" w:sz="4" w:space="0" w:color="auto"/>
              <w:left w:val="single" w:sz="4" w:space="0" w:color="auto"/>
              <w:bottom w:val="single" w:sz="4" w:space="0" w:color="auto"/>
            </w:tcBorders>
          </w:tcPr>
          <w:p w:rsidR="007B2E9D" w:rsidRDefault="007B2E9D" w:rsidP="00AF448F">
            <w:pPr>
              <w:spacing w:after="156"/>
              <w:jc w:val="center"/>
            </w:pPr>
          </w:p>
        </w:tc>
        <w:tc>
          <w:tcPr>
            <w:tcW w:w="1581"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005"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139"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355" w:type="dxa"/>
            <w:tcBorders>
              <w:top w:val="single" w:sz="4" w:space="0" w:color="auto"/>
              <w:left w:val="single" w:sz="4" w:space="0" w:color="auto"/>
              <w:bottom w:val="single" w:sz="4" w:space="0" w:color="auto"/>
            </w:tcBorders>
          </w:tcPr>
          <w:p w:rsidR="007B2E9D" w:rsidRDefault="007B2E9D" w:rsidP="00AF448F">
            <w:pPr>
              <w:spacing w:after="156"/>
              <w:jc w:val="center"/>
            </w:pPr>
          </w:p>
        </w:tc>
      </w:tr>
      <w:tr w:rsidR="007B2E9D" w:rsidTr="00AF448F">
        <w:trPr>
          <w:trHeight w:val="288"/>
        </w:trPr>
        <w:tc>
          <w:tcPr>
            <w:tcW w:w="2588" w:type="dxa"/>
            <w:gridSpan w:val="2"/>
            <w:tcBorders>
              <w:top w:val="single" w:sz="4" w:space="0" w:color="auto"/>
              <w:bottom w:val="single" w:sz="4" w:space="0" w:color="auto"/>
              <w:right w:val="single" w:sz="4" w:space="0" w:color="auto"/>
            </w:tcBorders>
          </w:tcPr>
          <w:p w:rsidR="007B2E9D" w:rsidRDefault="007B2E9D" w:rsidP="00AF448F">
            <w:pPr>
              <w:spacing w:after="156"/>
              <w:jc w:val="center"/>
            </w:pPr>
            <w:r>
              <w:rPr>
                <w:rFonts w:hint="eastAsia"/>
              </w:rPr>
              <w:t>境内证券公司测试人员</w:t>
            </w:r>
          </w:p>
        </w:tc>
        <w:tc>
          <w:tcPr>
            <w:tcW w:w="1292" w:type="dxa"/>
            <w:gridSpan w:val="2"/>
            <w:tcBorders>
              <w:top w:val="single" w:sz="4" w:space="0" w:color="auto"/>
              <w:left w:val="single" w:sz="4" w:space="0" w:color="auto"/>
              <w:bottom w:val="single" w:sz="4" w:space="0" w:color="auto"/>
            </w:tcBorders>
          </w:tcPr>
          <w:p w:rsidR="007B2E9D" w:rsidRDefault="007B2E9D" w:rsidP="00AF448F">
            <w:pPr>
              <w:spacing w:after="156"/>
              <w:jc w:val="center"/>
            </w:pPr>
          </w:p>
        </w:tc>
        <w:tc>
          <w:tcPr>
            <w:tcW w:w="1581"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005"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139"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355" w:type="dxa"/>
            <w:tcBorders>
              <w:top w:val="single" w:sz="4" w:space="0" w:color="auto"/>
              <w:left w:val="single" w:sz="4" w:space="0" w:color="auto"/>
              <w:bottom w:val="single" w:sz="4" w:space="0" w:color="auto"/>
            </w:tcBorders>
          </w:tcPr>
          <w:p w:rsidR="007B2E9D" w:rsidRDefault="007B2E9D" w:rsidP="00AF448F">
            <w:pPr>
              <w:spacing w:after="156"/>
              <w:jc w:val="center"/>
            </w:pPr>
          </w:p>
        </w:tc>
      </w:tr>
      <w:tr w:rsidR="007B2E9D" w:rsidTr="00AF448F">
        <w:trPr>
          <w:trHeight w:val="395"/>
        </w:trPr>
        <w:tc>
          <w:tcPr>
            <w:tcW w:w="2588" w:type="dxa"/>
            <w:gridSpan w:val="2"/>
            <w:tcBorders>
              <w:top w:val="single" w:sz="4" w:space="0" w:color="auto"/>
              <w:bottom w:val="single" w:sz="4" w:space="0" w:color="auto"/>
              <w:right w:val="single" w:sz="4" w:space="0" w:color="auto"/>
            </w:tcBorders>
          </w:tcPr>
          <w:p w:rsidR="007B2E9D" w:rsidRDefault="007B2E9D" w:rsidP="00AF448F">
            <w:pPr>
              <w:spacing w:after="156"/>
              <w:jc w:val="center"/>
            </w:pPr>
            <w:r>
              <w:rPr>
                <w:rFonts w:hint="eastAsia"/>
              </w:rPr>
              <w:t>香港证券公司技术负责人</w:t>
            </w:r>
          </w:p>
        </w:tc>
        <w:tc>
          <w:tcPr>
            <w:tcW w:w="1292" w:type="dxa"/>
            <w:gridSpan w:val="2"/>
            <w:tcBorders>
              <w:top w:val="single" w:sz="4" w:space="0" w:color="auto"/>
              <w:left w:val="single" w:sz="4" w:space="0" w:color="auto"/>
              <w:bottom w:val="single" w:sz="4" w:space="0" w:color="auto"/>
            </w:tcBorders>
          </w:tcPr>
          <w:p w:rsidR="007B2E9D" w:rsidRDefault="007B2E9D" w:rsidP="00AF448F">
            <w:pPr>
              <w:spacing w:after="156"/>
              <w:jc w:val="center"/>
            </w:pPr>
          </w:p>
        </w:tc>
        <w:tc>
          <w:tcPr>
            <w:tcW w:w="1581"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005"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139"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355" w:type="dxa"/>
            <w:tcBorders>
              <w:top w:val="single" w:sz="4" w:space="0" w:color="auto"/>
              <w:left w:val="single" w:sz="4" w:space="0" w:color="auto"/>
              <w:bottom w:val="single" w:sz="4" w:space="0" w:color="auto"/>
            </w:tcBorders>
          </w:tcPr>
          <w:p w:rsidR="007B2E9D" w:rsidRDefault="007B2E9D" w:rsidP="00AF448F">
            <w:pPr>
              <w:spacing w:after="156"/>
              <w:jc w:val="center"/>
            </w:pPr>
          </w:p>
        </w:tc>
      </w:tr>
      <w:tr w:rsidR="007B2E9D" w:rsidTr="00AF448F">
        <w:trPr>
          <w:trHeight w:val="321"/>
        </w:trPr>
        <w:tc>
          <w:tcPr>
            <w:tcW w:w="2588" w:type="dxa"/>
            <w:gridSpan w:val="2"/>
            <w:tcBorders>
              <w:top w:val="single" w:sz="4" w:space="0" w:color="auto"/>
              <w:bottom w:val="single" w:sz="4" w:space="0" w:color="auto"/>
              <w:right w:val="single" w:sz="4" w:space="0" w:color="auto"/>
            </w:tcBorders>
          </w:tcPr>
          <w:p w:rsidR="007B2E9D" w:rsidRDefault="007B2E9D" w:rsidP="00AF448F">
            <w:pPr>
              <w:spacing w:after="156"/>
              <w:jc w:val="center"/>
            </w:pPr>
            <w:r>
              <w:rPr>
                <w:rFonts w:hint="eastAsia"/>
              </w:rPr>
              <w:t>香港证券公司测试人员</w:t>
            </w:r>
          </w:p>
        </w:tc>
        <w:tc>
          <w:tcPr>
            <w:tcW w:w="1292" w:type="dxa"/>
            <w:gridSpan w:val="2"/>
            <w:tcBorders>
              <w:top w:val="single" w:sz="4" w:space="0" w:color="auto"/>
              <w:left w:val="single" w:sz="4" w:space="0" w:color="auto"/>
              <w:bottom w:val="single" w:sz="4" w:space="0" w:color="auto"/>
            </w:tcBorders>
          </w:tcPr>
          <w:p w:rsidR="007B2E9D" w:rsidRDefault="007B2E9D" w:rsidP="00AF448F">
            <w:pPr>
              <w:spacing w:after="156"/>
              <w:jc w:val="center"/>
            </w:pPr>
          </w:p>
        </w:tc>
        <w:tc>
          <w:tcPr>
            <w:tcW w:w="1581"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005"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139"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355" w:type="dxa"/>
            <w:tcBorders>
              <w:top w:val="single" w:sz="4" w:space="0" w:color="auto"/>
              <w:left w:val="single" w:sz="4" w:space="0" w:color="auto"/>
              <w:bottom w:val="single" w:sz="4" w:space="0" w:color="auto"/>
            </w:tcBorders>
          </w:tcPr>
          <w:p w:rsidR="007B2E9D" w:rsidRDefault="007B2E9D" w:rsidP="00AF448F">
            <w:pPr>
              <w:spacing w:after="156"/>
              <w:jc w:val="center"/>
            </w:pPr>
          </w:p>
        </w:tc>
      </w:tr>
      <w:tr w:rsidR="007B2E9D" w:rsidTr="00AF448F">
        <w:trPr>
          <w:trHeight w:val="198"/>
        </w:trPr>
        <w:tc>
          <w:tcPr>
            <w:tcW w:w="2588" w:type="dxa"/>
            <w:gridSpan w:val="2"/>
            <w:tcBorders>
              <w:top w:val="single" w:sz="4" w:space="0" w:color="auto"/>
              <w:bottom w:val="single" w:sz="4" w:space="0" w:color="auto"/>
              <w:right w:val="single" w:sz="4" w:space="0" w:color="auto"/>
            </w:tcBorders>
          </w:tcPr>
          <w:p w:rsidR="007B2E9D" w:rsidRPr="0051433A" w:rsidRDefault="007B2E9D" w:rsidP="00AF448F">
            <w:pPr>
              <w:spacing w:after="156"/>
              <w:jc w:val="center"/>
            </w:pPr>
            <w:r>
              <w:rPr>
                <w:rFonts w:hint="eastAsia"/>
              </w:rPr>
              <w:t>香港证券公司测试人员</w:t>
            </w:r>
          </w:p>
        </w:tc>
        <w:tc>
          <w:tcPr>
            <w:tcW w:w="1292" w:type="dxa"/>
            <w:gridSpan w:val="2"/>
            <w:tcBorders>
              <w:top w:val="single" w:sz="4" w:space="0" w:color="auto"/>
              <w:left w:val="single" w:sz="4" w:space="0" w:color="auto"/>
              <w:bottom w:val="single" w:sz="4" w:space="0" w:color="auto"/>
            </w:tcBorders>
          </w:tcPr>
          <w:p w:rsidR="007B2E9D" w:rsidRDefault="007B2E9D" w:rsidP="00AF448F">
            <w:pPr>
              <w:spacing w:after="156"/>
              <w:jc w:val="center"/>
            </w:pPr>
          </w:p>
        </w:tc>
        <w:tc>
          <w:tcPr>
            <w:tcW w:w="1581"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005"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139" w:type="dxa"/>
            <w:tcBorders>
              <w:top w:val="single" w:sz="4" w:space="0" w:color="auto"/>
              <w:left w:val="single" w:sz="4" w:space="0" w:color="auto"/>
              <w:bottom w:val="single" w:sz="4" w:space="0" w:color="auto"/>
            </w:tcBorders>
          </w:tcPr>
          <w:p w:rsidR="007B2E9D" w:rsidRDefault="007B2E9D" w:rsidP="00AF448F">
            <w:pPr>
              <w:spacing w:after="156"/>
              <w:jc w:val="center"/>
            </w:pPr>
          </w:p>
        </w:tc>
        <w:tc>
          <w:tcPr>
            <w:tcW w:w="1355" w:type="dxa"/>
            <w:tcBorders>
              <w:top w:val="single" w:sz="4" w:space="0" w:color="auto"/>
              <w:left w:val="single" w:sz="4" w:space="0" w:color="auto"/>
              <w:bottom w:val="single" w:sz="4" w:space="0" w:color="auto"/>
            </w:tcBorders>
          </w:tcPr>
          <w:p w:rsidR="007B2E9D" w:rsidRDefault="007B2E9D" w:rsidP="00AF448F">
            <w:pPr>
              <w:spacing w:after="156"/>
              <w:jc w:val="center"/>
            </w:pPr>
          </w:p>
        </w:tc>
      </w:tr>
      <w:tr w:rsidR="007B2E9D" w:rsidTr="00AF448F">
        <w:trPr>
          <w:trHeight w:val="387"/>
        </w:trPr>
        <w:tc>
          <w:tcPr>
            <w:tcW w:w="8961" w:type="dxa"/>
            <w:gridSpan w:val="8"/>
            <w:tcBorders>
              <w:bottom w:val="single" w:sz="4" w:space="0" w:color="auto"/>
            </w:tcBorders>
          </w:tcPr>
          <w:p w:rsidR="007B2E9D" w:rsidRPr="0020272C" w:rsidRDefault="007B2E9D" w:rsidP="00AF448F">
            <w:pPr>
              <w:spacing w:after="156"/>
              <w:jc w:val="center"/>
            </w:pPr>
            <w:r>
              <w:rPr>
                <w:rFonts w:hint="eastAsia"/>
              </w:rPr>
              <w:t>申请单位意见</w:t>
            </w:r>
          </w:p>
        </w:tc>
      </w:tr>
      <w:tr w:rsidR="007B2E9D" w:rsidTr="00AF448F">
        <w:trPr>
          <w:trHeight w:val="278"/>
        </w:trPr>
        <w:tc>
          <w:tcPr>
            <w:tcW w:w="8961" w:type="dxa"/>
            <w:gridSpan w:val="8"/>
            <w:tcBorders>
              <w:top w:val="single" w:sz="4" w:space="0" w:color="auto"/>
            </w:tcBorders>
          </w:tcPr>
          <w:p w:rsidR="007B2E9D" w:rsidRDefault="007B2E9D" w:rsidP="00AF448F">
            <w:pPr>
              <w:spacing w:after="156"/>
              <w:ind w:firstLineChars="200" w:firstLine="640"/>
              <w:rPr>
                <w:rFonts w:ascii="仿宋_GB2312" w:eastAsia="仿宋_GB2312"/>
                <w:sz w:val="32"/>
              </w:rPr>
            </w:pPr>
          </w:p>
          <w:p w:rsidR="007B2E9D" w:rsidRDefault="007B2E9D" w:rsidP="007B2E9D">
            <w:pPr>
              <w:spacing w:after="156"/>
              <w:ind w:firstLineChars="200" w:firstLine="400"/>
            </w:pPr>
            <w:r>
              <w:t>________(</w:t>
            </w:r>
            <w:r>
              <w:rPr>
                <w:rFonts w:hint="eastAsia"/>
              </w:rPr>
              <w:t>境内证券公司名称</w:t>
            </w:r>
            <w:r>
              <w:t>)</w:t>
            </w:r>
            <w:r>
              <w:rPr>
                <w:rFonts w:hint="eastAsia"/>
              </w:rPr>
              <w:t>已与</w:t>
            </w:r>
            <w:r>
              <w:t>________</w:t>
            </w:r>
            <w:r>
              <w:rPr>
                <w:rFonts w:hint="eastAsia"/>
              </w:rPr>
              <w:t>（上市公司名称）就</w:t>
            </w:r>
            <w:r>
              <w:t>H</w:t>
            </w:r>
            <w:r>
              <w:rPr>
                <w:rFonts w:hint="eastAsia"/>
              </w:rPr>
              <w:t>股</w:t>
            </w:r>
            <w:r>
              <w:t>“</w:t>
            </w:r>
            <w:r>
              <w:rPr>
                <w:rFonts w:hint="eastAsia"/>
              </w:rPr>
              <w:t>全流通</w:t>
            </w:r>
            <w:r>
              <w:t>”</w:t>
            </w:r>
            <w:r>
              <w:rPr>
                <w:rFonts w:hint="eastAsia"/>
              </w:rPr>
              <w:t>业务达成了合作意向。现我公司及与我公司</w:t>
            </w:r>
            <w:r w:rsidRPr="008924A9">
              <w:rPr>
                <w:rFonts w:hint="eastAsia"/>
              </w:rPr>
              <w:t>合作的</w:t>
            </w:r>
            <w:r w:rsidRPr="008924A9">
              <w:t>________</w:t>
            </w:r>
            <w:r w:rsidRPr="008924A9">
              <w:rPr>
                <w:rFonts w:hint="eastAsia"/>
              </w:rPr>
              <w:t>（香港证券公司名称）的</w:t>
            </w:r>
            <w:r>
              <w:rPr>
                <w:rFonts w:hint="eastAsia"/>
              </w:rPr>
              <w:t>H</w:t>
            </w:r>
            <w:r>
              <w:rPr>
                <w:rFonts w:hint="eastAsia"/>
              </w:rPr>
              <w:t>股“全流通”技术系统已基本准备就绪，各项功能验证正常，现申请参加中国证券登记结算有限责任公司深圳分公司联合深圳证券通信有限公司组织的技术系统仿真测试。</w:t>
            </w:r>
          </w:p>
          <w:p w:rsidR="007B2E9D" w:rsidRDefault="007B2E9D" w:rsidP="007B2E9D">
            <w:pPr>
              <w:spacing w:after="156"/>
              <w:ind w:firstLineChars="200" w:firstLine="400"/>
            </w:pPr>
          </w:p>
          <w:p w:rsidR="007B2E9D" w:rsidRDefault="007B2E9D" w:rsidP="00AF448F">
            <w:pPr>
              <w:spacing w:line="360" w:lineRule="auto"/>
              <w:rPr>
                <w:rFonts w:ascii="宋体" w:eastAsia="仿宋_GB2312" w:hAnsi="宋体"/>
                <w:color w:val="000000"/>
                <w:sz w:val="32"/>
                <w:szCs w:val="21"/>
              </w:rPr>
            </w:pPr>
            <w:r>
              <w:rPr>
                <w:rFonts w:ascii="宋体" w:hAnsi="宋体" w:hint="eastAsia"/>
                <w:color w:val="000000"/>
                <w:szCs w:val="21"/>
              </w:rPr>
              <w:t>境内证券</w:t>
            </w:r>
            <w:r>
              <w:rPr>
                <w:rFonts w:ascii="宋体" w:hAnsi="宋体"/>
                <w:color w:val="000000"/>
                <w:szCs w:val="21"/>
              </w:rPr>
              <w:t>公司</w:t>
            </w:r>
            <w:r w:rsidRPr="0068128A">
              <w:rPr>
                <w:rFonts w:ascii="宋体" w:hAnsi="宋体" w:hint="eastAsia"/>
                <w:color w:val="000000"/>
                <w:szCs w:val="21"/>
              </w:rPr>
              <w:t>公司确认：</w:t>
            </w:r>
          </w:p>
          <w:p w:rsidR="007B2E9D" w:rsidRDefault="007B2E9D" w:rsidP="00AF448F">
            <w:pPr>
              <w:spacing w:line="360" w:lineRule="auto"/>
              <w:rPr>
                <w:rFonts w:ascii="宋体" w:hAnsi="宋体"/>
                <w:color w:val="000000"/>
                <w:szCs w:val="21"/>
              </w:rPr>
            </w:pPr>
          </w:p>
          <w:p w:rsidR="007B2E9D" w:rsidRDefault="007B2E9D" w:rsidP="007B2E9D">
            <w:pPr>
              <w:spacing w:line="360" w:lineRule="auto"/>
              <w:ind w:firstLineChars="2900" w:firstLine="5800"/>
              <w:rPr>
                <w:rFonts w:ascii="宋体" w:hAnsi="宋体"/>
                <w:color w:val="000000"/>
                <w:szCs w:val="21"/>
              </w:rPr>
            </w:pPr>
            <w:r w:rsidRPr="0068128A">
              <w:rPr>
                <w:rFonts w:ascii="宋体" w:hAnsi="宋体" w:hint="eastAsia"/>
                <w:color w:val="000000"/>
                <w:szCs w:val="21"/>
              </w:rPr>
              <w:t>法人公章</w:t>
            </w:r>
          </w:p>
          <w:p w:rsidR="007B2E9D" w:rsidRDefault="007B2E9D" w:rsidP="007B2E9D">
            <w:pPr>
              <w:spacing w:after="156"/>
              <w:ind w:firstLineChars="2650" w:firstLine="5300"/>
              <w:rPr>
                <w:rFonts w:ascii="仿宋_GB2312" w:eastAsia="仿宋_GB2312"/>
                <w:sz w:val="32"/>
              </w:rPr>
            </w:pPr>
            <w:r w:rsidRPr="0068128A">
              <w:rPr>
                <w:rFonts w:ascii="宋体" w:hAnsi="宋体" w:hint="eastAsia"/>
                <w:color w:val="000000"/>
                <w:szCs w:val="21"/>
              </w:rPr>
              <w:t>（或预留印鉴）</w:t>
            </w:r>
          </w:p>
        </w:tc>
      </w:tr>
    </w:tbl>
    <w:p w:rsidR="007B2E9D" w:rsidRDefault="007B2E9D" w:rsidP="007B2E9D">
      <w:pPr>
        <w:ind w:leftChars="-342" w:left="-718" w:firstLineChars="100" w:firstLine="210"/>
      </w:pPr>
      <w:r w:rsidRPr="00C00E21">
        <w:rPr>
          <w:rFonts w:hint="eastAsia"/>
        </w:rPr>
        <w:t>注：境内证券公司提供的交易单元及托管单元应为深市独立测试系统中已存在的港股通交易单元及托管单元。</w:t>
      </w:r>
    </w:p>
    <w:p w:rsidR="007B2E9D" w:rsidRDefault="007B2E9D" w:rsidP="007B2E9D">
      <w:pPr>
        <w:widowControl/>
        <w:jc w:val="left"/>
        <w:rPr>
          <w:rFonts w:ascii="方正仿宋简体" w:eastAsia="方正仿宋简体" w:hAnsi="宋体"/>
          <w:sz w:val="30"/>
          <w:szCs w:val="30"/>
        </w:rPr>
      </w:pPr>
      <w:r>
        <w:br w:type="page"/>
      </w:r>
      <w:r>
        <w:rPr>
          <w:rFonts w:ascii="方正仿宋简体" w:eastAsia="方正仿宋简体" w:hAnsi="宋体" w:hint="eastAsia"/>
          <w:sz w:val="30"/>
          <w:szCs w:val="30"/>
        </w:rPr>
        <w:lastRenderedPageBreak/>
        <w:t>附件二：</w:t>
      </w:r>
    </w:p>
    <w:p w:rsidR="007B2E9D" w:rsidRDefault="007B2E9D" w:rsidP="007B2E9D">
      <w:pPr>
        <w:widowControl/>
        <w:jc w:val="center"/>
        <w:rPr>
          <w:rFonts w:ascii="方正仿宋简体" w:eastAsia="方正仿宋简体" w:hAnsi="宋体"/>
          <w:sz w:val="32"/>
          <w:szCs w:val="32"/>
        </w:rPr>
      </w:pPr>
      <w:r>
        <w:rPr>
          <w:rFonts w:ascii="方正仿宋简体" w:eastAsia="方正仿宋简体" w:hAnsi="宋体" w:hint="eastAsia"/>
          <w:sz w:val="32"/>
          <w:szCs w:val="32"/>
        </w:rPr>
        <w:t>合作意向说明</w:t>
      </w:r>
    </w:p>
    <w:p w:rsidR="007B2E9D" w:rsidRDefault="007B2E9D" w:rsidP="007B2E9D">
      <w:pPr>
        <w:widowControl/>
        <w:jc w:val="center"/>
        <w:rPr>
          <w:rFonts w:ascii="方正仿宋简体" w:eastAsia="方正仿宋简体" w:hAnsi="宋体"/>
          <w:sz w:val="32"/>
          <w:szCs w:val="32"/>
        </w:rPr>
      </w:pPr>
    </w:p>
    <w:p w:rsidR="007B2E9D" w:rsidRDefault="007B2E9D" w:rsidP="007B2E9D">
      <w:pPr>
        <w:widowControl/>
        <w:rPr>
          <w:rFonts w:ascii="方正仿宋简体" w:eastAsia="方正仿宋简体" w:hAnsi="宋体"/>
          <w:sz w:val="32"/>
          <w:szCs w:val="32"/>
        </w:rPr>
      </w:pPr>
      <w:r>
        <w:rPr>
          <w:rFonts w:ascii="方正仿宋简体" w:eastAsia="方正仿宋简体" w:hAnsi="宋体" w:hint="eastAsia"/>
          <w:sz w:val="32"/>
          <w:szCs w:val="32"/>
        </w:rPr>
        <w:t>中国证券登记结算有限责任公司深圳分公司：</w:t>
      </w:r>
    </w:p>
    <w:p w:rsidR="007B2E9D" w:rsidRDefault="007B2E9D" w:rsidP="007B2E9D">
      <w:pPr>
        <w:widowControl/>
        <w:ind w:firstLineChars="200" w:firstLine="640"/>
        <w:rPr>
          <w:rFonts w:ascii="方正仿宋简体" w:eastAsia="方正仿宋简体" w:hAnsi="宋体"/>
          <w:sz w:val="32"/>
          <w:szCs w:val="32"/>
        </w:rPr>
      </w:pPr>
      <w:r>
        <w:rPr>
          <w:rFonts w:ascii="方正仿宋简体" w:eastAsia="方正仿宋简体" w:hAnsi="宋体" w:hint="eastAsia"/>
          <w:sz w:val="32"/>
          <w:szCs w:val="32"/>
        </w:rPr>
        <w:t>根据中国证监会《H 股公司境内未上市股份申请“全流通”业务指引》要求，我公司拟选择（境内证券公司名称）和与其合作的（香港证券公司）开展H股“全流通”业务。</w:t>
      </w:r>
    </w:p>
    <w:p w:rsidR="007B2E9D" w:rsidRDefault="007B2E9D" w:rsidP="007B2E9D">
      <w:pPr>
        <w:widowControl/>
        <w:ind w:firstLineChars="200" w:firstLine="640"/>
        <w:rPr>
          <w:rFonts w:ascii="方正仿宋简体" w:eastAsia="方正仿宋简体" w:hAnsi="宋体"/>
          <w:sz w:val="32"/>
          <w:szCs w:val="32"/>
        </w:rPr>
      </w:pPr>
    </w:p>
    <w:p w:rsidR="007B2E9D" w:rsidRDefault="007B2E9D" w:rsidP="007B2E9D">
      <w:pPr>
        <w:widowControl/>
        <w:ind w:firstLineChars="200" w:firstLine="640"/>
        <w:rPr>
          <w:rFonts w:ascii="方正仿宋简体" w:eastAsia="方正仿宋简体" w:hAnsi="宋体"/>
          <w:sz w:val="32"/>
          <w:szCs w:val="32"/>
        </w:rPr>
      </w:pPr>
    </w:p>
    <w:p w:rsidR="007B2E9D" w:rsidRDefault="007B2E9D" w:rsidP="007B2E9D">
      <w:pPr>
        <w:widowControl/>
        <w:wordWrap w:val="0"/>
        <w:ind w:firstLineChars="200" w:firstLine="640"/>
        <w:jc w:val="right"/>
        <w:rPr>
          <w:rFonts w:ascii="方正仿宋简体" w:eastAsia="方正仿宋简体" w:hAnsi="宋体"/>
          <w:sz w:val="32"/>
          <w:szCs w:val="32"/>
        </w:rPr>
      </w:pPr>
      <w:r>
        <w:rPr>
          <w:rFonts w:ascii="方正仿宋简体" w:eastAsia="方正仿宋简体" w:hAnsi="宋体" w:hint="eastAsia"/>
          <w:sz w:val="32"/>
          <w:szCs w:val="32"/>
        </w:rPr>
        <w:t>(上市公司名称)</w:t>
      </w:r>
    </w:p>
    <w:p w:rsidR="007B2E9D" w:rsidRDefault="007B2E9D" w:rsidP="007B2E9D">
      <w:pPr>
        <w:widowControl/>
        <w:ind w:firstLineChars="200" w:firstLine="640"/>
        <w:jc w:val="right"/>
        <w:rPr>
          <w:rFonts w:ascii="方正仿宋简体" w:eastAsia="方正仿宋简体" w:hAnsi="宋体"/>
          <w:sz w:val="32"/>
          <w:szCs w:val="32"/>
        </w:rPr>
      </w:pPr>
    </w:p>
    <w:p w:rsidR="007B2E9D" w:rsidRDefault="007B2E9D" w:rsidP="007B2E9D">
      <w:pPr>
        <w:widowControl/>
        <w:ind w:firstLineChars="200" w:firstLine="640"/>
        <w:jc w:val="right"/>
        <w:rPr>
          <w:rFonts w:ascii="方正仿宋简体" w:eastAsia="方正仿宋简体" w:hAnsi="宋体"/>
          <w:sz w:val="32"/>
          <w:szCs w:val="32"/>
        </w:rPr>
      </w:pPr>
      <w:r>
        <w:rPr>
          <w:rFonts w:ascii="方正仿宋简体" w:eastAsia="方正仿宋简体" w:hAnsi="宋体" w:hint="eastAsia"/>
          <w:sz w:val="32"/>
          <w:szCs w:val="32"/>
        </w:rPr>
        <w:t>上市公司法人公章</w:t>
      </w:r>
    </w:p>
    <w:p w:rsidR="007B2E9D" w:rsidRDefault="007B2E9D" w:rsidP="007B2E9D">
      <w:pPr>
        <w:widowControl/>
        <w:ind w:firstLineChars="200" w:firstLine="640"/>
        <w:rPr>
          <w:rFonts w:ascii="方正仿宋简体" w:eastAsia="方正仿宋简体" w:hAnsi="宋体"/>
          <w:sz w:val="32"/>
          <w:szCs w:val="32"/>
        </w:rPr>
      </w:pPr>
    </w:p>
    <w:p w:rsidR="007B2E9D" w:rsidRDefault="007B2E9D" w:rsidP="007B2E9D">
      <w:pPr>
        <w:widowControl/>
        <w:jc w:val="right"/>
        <w:rPr>
          <w:rFonts w:ascii="方正仿宋简体" w:eastAsia="方正仿宋简体" w:hAnsi="宋体"/>
          <w:sz w:val="30"/>
          <w:szCs w:val="30"/>
        </w:rPr>
      </w:pPr>
      <w:r>
        <w:rPr>
          <w:rFonts w:ascii="方正仿宋简体" w:eastAsia="方正仿宋简体" w:hAnsi="宋体" w:hint="eastAsia"/>
          <w:sz w:val="30"/>
          <w:szCs w:val="30"/>
        </w:rPr>
        <w:t>年 月  日</w:t>
      </w:r>
    </w:p>
    <w:p w:rsidR="007B2E9D" w:rsidRDefault="007B2E9D" w:rsidP="007B2E9D">
      <w:pPr>
        <w:widowControl/>
        <w:rPr>
          <w:rFonts w:ascii="方正仿宋简体" w:eastAsia="方正仿宋简体" w:hAnsi="宋体"/>
          <w:sz w:val="30"/>
          <w:szCs w:val="30"/>
        </w:rPr>
      </w:pPr>
    </w:p>
    <w:p w:rsidR="007B2E9D" w:rsidRDefault="007B2E9D" w:rsidP="007B2E9D">
      <w:pPr>
        <w:widowControl/>
        <w:jc w:val="left"/>
      </w:pPr>
    </w:p>
    <w:p w:rsidR="007B2E9D" w:rsidRDefault="007B2E9D" w:rsidP="007B2E9D">
      <w:pPr>
        <w:widowControl/>
        <w:jc w:val="left"/>
        <w:rPr>
          <w:rFonts w:ascii="方正仿宋简体" w:eastAsia="方正仿宋简体" w:hAnsi="宋体"/>
          <w:sz w:val="30"/>
          <w:szCs w:val="30"/>
        </w:rPr>
      </w:pPr>
      <w:r>
        <w:rPr>
          <w:rFonts w:ascii="仿宋" w:eastAsia="仿宋" w:hAnsi="仿宋"/>
          <w:kern w:val="0"/>
          <w:sz w:val="20"/>
          <w:szCs w:val="20"/>
        </w:rPr>
        <w:br w:type="page"/>
      </w:r>
      <w:r>
        <w:rPr>
          <w:rFonts w:ascii="方正仿宋简体" w:eastAsia="方正仿宋简体" w:hAnsi="宋体" w:hint="eastAsia"/>
          <w:sz w:val="30"/>
          <w:szCs w:val="30"/>
        </w:rPr>
        <w:lastRenderedPageBreak/>
        <w:t>附件三：</w:t>
      </w:r>
    </w:p>
    <w:p w:rsidR="007B2E9D" w:rsidRDefault="007B2E9D" w:rsidP="007B2E9D">
      <w:pPr>
        <w:widowControl/>
        <w:jc w:val="center"/>
        <w:rPr>
          <w:rFonts w:ascii="仿宋" w:eastAsia="仿宋" w:hAnsi="仿宋"/>
          <w:kern w:val="0"/>
          <w:sz w:val="20"/>
          <w:szCs w:val="20"/>
        </w:rPr>
      </w:pPr>
      <w:r w:rsidRPr="00F81BEE">
        <w:rPr>
          <w:rFonts w:ascii="方正仿宋简体" w:eastAsia="方正仿宋简体" w:hAnsi="宋体" w:cstheme="majorBidi" w:hint="eastAsia"/>
          <w:b/>
          <w:bCs/>
          <w:sz w:val="32"/>
          <w:szCs w:val="32"/>
        </w:rPr>
        <w:t>H股“全流通”</w:t>
      </w:r>
      <w:r>
        <w:rPr>
          <w:rFonts w:ascii="方正仿宋简体" w:eastAsia="方正仿宋简体" w:hAnsi="宋体" w:cstheme="majorBidi" w:hint="eastAsia"/>
          <w:b/>
          <w:bCs/>
          <w:sz w:val="32"/>
          <w:szCs w:val="32"/>
        </w:rPr>
        <w:t>技术系统</w:t>
      </w:r>
      <w:r w:rsidRPr="00F81BEE">
        <w:rPr>
          <w:rFonts w:ascii="方正仿宋简体" w:eastAsia="方正仿宋简体" w:hAnsi="宋体" w:cstheme="majorBidi" w:hint="eastAsia"/>
          <w:b/>
          <w:bCs/>
          <w:sz w:val="32"/>
          <w:szCs w:val="32"/>
        </w:rPr>
        <w:t>仿真测试</w:t>
      </w:r>
      <w:r>
        <w:rPr>
          <w:rFonts w:ascii="方正仿宋简体" w:eastAsia="方正仿宋简体" w:hAnsi="宋体" w:cstheme="majorBidi" w:hint="eastAsia"/>
          <w:b/>
          <w:bCs/>
          <w:sz w:val="32"/>
          <w:szCs w:val="32"/>
        </w:rPr>
        <w:t>结果确认</w:t>
      </w:r>
      <w:r w:rsidRPr="00F81BEE">
        <w:rPr>
          <w:rFonts w:ascii="方正仿宋简体" w:eastAsia="方正仿宋简体" w:hAnsi="宋体" w:cstheme="majorBidi" w:hint="eastAsia"/>
          <w:b/>
          <w:bCs/>
          <w:sz w:val="32"/>
          <w:szCs w:val="32"/>
        </w:rPr>
        <w:t>表</w:t>
      </w:r>
    </w:p>
    <w:tbl>
      <w:tblPr>
        <w:tblStyle w:val="a7"/>
        <w:tblW w:w="8883" w:type="dxa"/>
        <w:tblInd w:w="-3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8883"/>
      </w:tblGrid>
      <w:tr w:rsidR="007B2E9D" w:rsidTr="00AF448F">
        <w:trPr>
          <w:trHeight w:val="2572"/>
        </w:trPr>
        <w:tc>
          <w:tcPr>
            <w:tcW w:w="8883" w:type="dxa"/>
            <w:tcBorders>
              <w:bottom w:val="single" w:sz="4" w:space="0" w:color="auto"/>
            </w:tcBorders>
          </w:tcPr>
          <w:p w:rsidR="007B2E9D" w:rsidRDefault="007B2E9D" w:rsidP="00AF448F">
            <w:pPr>
              <w:spacing w:after="156"/>
            </w:pPr>
            <w:r>
              <w:rPr>
                <w:rFonts w:hint="eastAsia"/>
              </w:rPr>
              <w:t>________(</w:t>
            </w:r>
            <w:r>
              <w:rPr>
                <w:rFonts w:hint="eastAsia"/>
              </w:rPr>
              <w:t>境内证券公司名称</w:t>
            </w:r>
            <w:r>
              <w:rPr>
                <w:rFonts w:hint="eastAsia"/>
              </w:rPr>
              <w:t>)</w:t>
            </w:r>
            <w:r>
              <w:rPr>
                <w:rFonts w:hint="eastAsia"/>
              </w:rPr>
              <w:t>及</w:t>
            </w:r>
            <w:r>
              <w:rPr>
                <w:rFonts w:hint="eastAsia"/>
              </w:rPr>
              <w:t>________</w:t>
            </w:r>
            <w:r>
              <w:rPr>
                <w:rFonts w:hint="eastAsia"/>
              </w:rPr>
              <w:t>（香港证券公司名称）：</w:t>
            </w:r>
          </w:p>
          <w:p w:rsidR="007B2E9D" w:rsidRDefault="007B2E9D" w:rsidP="00AF448F">
            <w:pPr>
              <w:spacing w:after="156"/>
            </w:pPr>
          </w:p>
          <w:p w:rsidR="007B2E9D" w:rsidRDefault="007B2E9D" w:rsidP="007B2E9D">
            <w:pPr>
              <w:spacing w:after="156"/>
              <w:ind w:firstLineChars="200" w:firstLine="400"/>
              <w:rPr>
                <w:rFonts w:asciiTheme="minorHAnsi" w:eastAsiaTheme="minorEastAsia" w:hAnsiTheme="minorHAnsi" w:cstheme="minorBidi"/>
                <w:sz w:val="24"/>
              </w:rPr>
            </w:pPr>
            <w:r>
              <w:rPr>
                <w:rFonts w:hint="eastAsia"/>
              </w:rPr>
              <w:t>贵司与中国证券登记结算有限责任公司深圳分公司、深圳证券通信有限公司及外汇申报银行关于</w:t>
            </w:r>
            <w:r>
              <w:rPr>
                <w:rFonts w:hint="eastAsia"/>
              </w:rPr>
              <w:t>H</w:t>
            </w:r>
            <w:r>
              <w:rPr>
                <w:rFonts w:hint="eastAsia"/>
              </w:rPr>
              <w:t>股“全流通”技术系统仿真测试的结果如下：</w:t>
            </w:r>
          </w:p>
        </w:tc>
      </w:tr>
      <w:tr w:rsidR="007B2E9D" w:rsidTr="00AF448F">
        <w:trPr>
          <w:trHeight w:val="2778"/>
        </w:trPr>
        <w:tc>
          <w:tcPr>
            <w:tcW w:w="8883" w:type="dxa"/>
            <w:tcBorders>
              <w:top w:val="single" w:sz="4" w:space="0" w:color="auto"/>
              <w:bottom w:val="single" w:sz="4" w:space="0" w:color="auto"/>
            </w:tcBorders>
          </w:tcPr>
          <w:p w:rsidR="007B2E9D" w:rsidRDefault="007B2E9D" w:rsidP="00AF448F">
            <w:pPr>
              <w:spacing w:after="156"/>
              <w:rPr>
                <w:rFonts w:asciiTheme="minorHAnsi" w:eastAsiaTheme="minorEastAsia" w:hAnsiTheme="minorHAnsi" w:cstheme="minorBidi"/>
                <w:szCs w:val="22"/>
              </w:rPr>
            </w:pPr>
          </w:p>
          <w:p w:rsidR="007B2E9D" w:rsidRDefault="007B2E9D" w:rsidP="007B2E9D">
            <w:pPr>
              <w:spacing w:after="156"/>
              <w:ind w:firstLineChars="200" w:firstLine="400"/>
              <w:rPr>
                <w:rFonts w:asciiTheme="minorHAnsi" w:eastAsiaTheme="minorEastAsia" w:hAnsiTheme="minorHAnsi" w:cstheme="minorBidi"/>
                <w:szCs w:val="22"/>
              </w:rPr>
            </w:pPr>
            <w:r>
              <w:rPr>
                <w:rFonts w:hint="eastAsia"/>
              </w:rPr>
              <w:t>关于</w:t>
            </w:r>
            <w:r>
              <w:rPr>
                <w:rFonts w:hint="eastAsia"/>
              </w:rPr>
              <w:t>H</w:t>
            </w:r>
            <w:r>
              <w:rPr>
                <w:rFonts w:hint="eastAsia"/>
              </w:rPr>
              <w:t>股“全流通”公司行为及非交易业务申报、清算及交收处理部分，测试结果为（通过</w:t>
            </w:r>
            <w:r>
              <w:rPr>
                <w:rFonts w:hint="eastAsia"/>
              </w:rPr>
              <w:t>/</w:t>
            </w:r>
            <w:r>
              <w:rPr>
                <w:rFonts w:hint="eastAsia"/>
              </w:rPr>
              <w:t>不通过）。</w:t>
            </w:r>
          </w:p>
          <w:p w:rsidR="007B2E9D" w:rsidRDefault="007B2E9D" w:rsidP="00AF448F">
            <w:pPr>
              <w:spacing w:after="156"/>
              <w:ind w:firstLine="390"/>
              <w:jc w:val="right"/>
            </w:pPr>
            <w:r>
              <w:rPr>
                <w:rFonts w:hint="eastAsia"/>
              </w:rPr>
              <w:t>中国证券登记结算有限责任公司深圳分公司</w:t>
            </w:r>
          </w:p>
          <w:p w:rsidR="007B2E9D" w:rsidRDefault="007B2E9D" w:rsidP="00AF448F">
            <w:pPr>
              <w:spacing w:after="156"/>
              <w:ind w:firstLine="390"/>
              <w:jc w:val="right"/>
              <w:rPr>
                <w:rFonts w:asciiTheme="minorHAnsi" w:eastAsiaTheme="minorEastAsia" w:hAnsiTheme="minorHAnsi" w:cstheme="minorBidi"/>
                <w:sz w:val="32"/>
                <w:szCs w:val="22"/>
              </w:rPr>
            </w:pPr>
            <w:r>
              <w:rPr>
                <w:rFonts w:hint="eastAsia"/>
              </w:rPr>
              <w:t>系统运行部（签章）</w:t>
            </w:r>
          </w:p>
          <w:p w:rsidR="007B2E9D" w:rsidRDefault="007B2E9D" w:rsidP="00AF448F">
            <w:pPr>
              <w:spacing w:after="156"/>
              <w:ind w:firstLine="390"/>
              <w:jc w:val="right"/>
              <w:rPr>
                <w:rFonts w:ascii="仿宋_GB2312" w:eastAsia="仿宋_GB2312"/>
                <w:sz w:val="32"/>
              </w:rPr>
            </w:pPr>
            <w:r>
              <w:rPr>
                <w:rFonts w:hint="eastAsia"/>
              </w:rPr>
              <w:t>年月日</w:t>
            </w:r>
          </w:p>
        </w:tc>
      </w:tr>
      <w:tr w:rsidR="007B2E9D" w:rsidTr="00AF448F">
        <w:trPr>
          <w:trHeight w:val="1564"/>
        </w:trPr>
        <w:tc>
          <w:tcPr>
            <w:tcW w:w="8883" w:type="dxa"/>
            <w:tcBorders>
              <w:top w:val="single" w:sz="4" w:space="0" w:color="auto"/>
              <w:bottom w:val="single" w:sz="4" w:space="0" w:color="auto"/>
            </w:tcBorders>
          </w:tcPr>
          <w:p w:rsidR="007B2E9D" w:rsidRDefault="007B2E9D" w:rsidP="00AF448F">
            <w:pPr>
              <w:spacing w:after="156"/>
            </w:pPr>
          </w:p>
          <w:p w:rsidR="007B2E9D" w:rsidRDefault="007B2E9D" w:rsidP="00AF448F">
            <w:pPr>
              <w:spacing w:after="156"/>
              <w:ind w:firstLine="390"/>
              <w:rPr>
                <w:rFonts w:asciiTheme="minorHAnsi" w:eastAsiaTheme="minorEastAsia" w:hAnsiTheme="minorHAnsi" w:cstheme="minorBidi"/>
                <w:szCs w:val="22"/>
              </w:rPr>
            </w:pPr>
            <w:r>
              <w:rPr>
                <w:rFonts w:hint="eastAsia"/>
              </w:rPr>
              <w:t>关于</w:t>
            </w:r>
            <w:r>
              <w:rPr>
                <w:rFonts w:hint="eastAsia"/>
              </w:rPr>
              <w:t>H</w:t>
            </w:r>
            <w:r>
              <w:rPr>
                <w:rFonts w:hint="eastAsia"/>
              </w:rPr>
              <w:t>股“全流通”交易申报及成交确认部分，测试结果为（通过</w:t>
            </w:r>
            <w:r>
              <w:rPr>
                <w:rFonts w:hint="eastAsia"/>
              </w:rPr>
              <w:t>/</w:t>
            </w:r>
            <w:r>
              <w:rPr>
                <w:rFonts w:hint="eastAsia"/>
              </w:rPr>
              <w:t>不通过）。</w:t>
            </w:r>
          </w:p>
          <w:p w:rsidR="007B2E9D" w:rsidRDefault="007B2E9D" w:rsidP="00AF448F">
            <w:pPr>
              <w:spacing w:after="156"/>
              <w:ind w:firstLine="390"/>
              <w:jc w:val="right"/>
              <w:rPr>
                <w:rFonts w:asciiTheme="minorHAnsi" w:eastAsiaTheme="minorEastAsia" w:hAnsiTheme="minorHAnsi" w:cstheme="minorBidi"/>
                <w:sz w:val="32"/>
                <w:szCs w:val="22"/>
              </w:rPr>
            </w:pPr>
            <w:r>
              <w:rPr>
                <w:rFonts w:hint="eastAsia"/>
              </w:rPr>
              <w:t>深证通交易结算事业部运行部（签章）</w:t>
            </w:r>
          </w:p>
          <w:p w:rsidR="007B2E9D" w:rsidRDefault="007B2E9D" w:rsidP="00AF448F">
            <w:pPr>
              <w:spacing w:after="156"/>
              <w:ind w:firstLine="390"/>
              <w:jc w:val="right"/>
              <w:rPr>
                <w:rFonts w:ascii="仿宋_GB2312" w:eastAsia="仿宋_GB2312"/>
                <w:sz w:val="32"/>
              </w:rPr>
            </w:pPr>
            <w:r>
              <w:rPr>
                <w:rFonts w:hint="eastAsia"/>
              </w:rPr>
              <w:t>年月日</w:t>
            </w:r>
          </w:p>
        </w:tc>
      </w:tr>
      <w:tr w:rsidR="007B2E9D" w:rsidTr="00AF448F">
        <w:trPr>
          <w:trHeight w:val="405"/>
        </w:trPr>
        <w:tc>
          <w:tcPr>
            <w:tcW w:w="8883" w:type="dxa"/>
            <w:tcBorders>
              <w:top w:val="single" w:sz="4" w:space="0" w:color="auto"/>
            </w:tcBorders>
          </w:tcPr>
          <w:p w:rsidR="007B2E9D" w:rsidRDefault="007B2E9D" w:rsidP="00AF448F">
            <w:pPr>
              <w:spacing w:after="156"/>
            </w:pPr>
          </w:p>
          <w:p w:rsidR="007B2E9D" w:rsidRDefault="007B2E9D" w:rsidP="00AF448F">
            <w:pPr>
              <w:spacing w:after="156"/>
              <w:ind w:firstLine="390"/>
            </w:pPr>
            <w:r>
              <w:rPr>
                <w:rFonts w:hint="eastAsia"/>
              </w:rPr>
              <w:t>关于外汇申报部分，测试结果为（通过</w:t>
            </w:r>
            <w:r>
              <w:rPr>
                <w:rFonts w:hint="eastAsia"/>
              </w:rPr>
              <w:t>/</w:t>
            </w:r>
            <w:r>
              <w:rPr>
                <w:rFonts w:hint="eastAsia"/>
              </w:rPr>
              <w:t>不通过）。</w:t>
            </w:r>
          </w:p>
          <w:p w:rsidR="007B2E9D" w:rsidRDefault="007B2E9D" w:rsidP="00AF448F">
            <w:pPr>
              <w:jc w:val="right"/>
              <w:rPr>
                <w:rFonts w:ascii="仿宋_GB2312" w:eastAsia="仿宋_GB2312"/>
                <w:sz w:val="32"/>
              </w:rPr>
            </w:pPr>
            <w:r>
              <w:rPr>
                <w:rFonts w:hint="eastAsia"/>
              </w:rPr>
              <w:t>中国银行深圳市分行营业部（签章）</w:t>
            </w:r>
          </w:p>
        </w:tc>
      </w:tr>
      <w:tr w:rsidR="007B2E9D" w:rsidTr="00AF448F">
        <w:trPr>
          <w:trHeight w:val="687"/>
        </w:trPr>
        <w:tc>
          <w:tcPr>
            <w:tcW w:w="8883" w:type="dxa"/>
            <w:tcBorders>
              <w:bottom w:val="single" w:sz="4" w:space="0" w:color="auto"/>
            </w:tcBorders>
          </w:tcPr>
          <w:p w:rsidR="007B2E9D" w:rsidRDefault="007B2E9D" w:rsidP="00AF448F">
            <w:pPr>
              <w:jc w:val="right"/>
              <w:rPr>
                <w:rFonts w:ascii="仿宋_GB2312" w:eastAsia="仿宋_GB2312"/>
                <w:sz w:val="32"/>
              </w:rPr>
            </w:pPr>
            <w:r>
              <w:rPr>
                <w:rFonts w:hint="eastAsia"/>
              </w:rPr>
              <w:t>年月日</w:t>
            </w:r>
          </w:p>
        </w:tc>
      </w:tr>
    </w:tbl>
    <w:p w:rsidR="007B2E9D" w:rsidRDefault="007B2E9D" w:rsidP="007B2E9D"/>
    <w:p w:rsidR="007B2E9D" w:rsidRPr="007B5D37" w:rsidRDefault="007B2E9D" w:rsidP="007B2E9D">
      <w:pPr>
        <w:ind w:right="1287"/>
        <w:rPr>
          <w:rFonts w:ascii="仿宋_GB2312" w:eastAsia="仿宋_GB2312"/>
          <w:spacing w:val="-6"/>
          <w:sz w:val="32"/>
        </w:rPr>
      </w:pPr>
    </w:p>
    <w:p w:rsidR="002D53A6" w:rsidRPr="007B2E9D" w:rsidRDefault="002D53A6" w:rsidP="007B2E9D"/>
    <w:sectPr w:rsidR="002D53A6" w:rsidRPr="007B2E9D" w:rsidSect="004F5DCC">
      <w:footerReference w:type="even" r:id="rId6"/>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C6A" w:rsidRDefault="00814C6A" w:rsidP="007B2E9D">
      <w:r>
        <w:separator/>
      </w:r>
    </w:p>
  </w:endnote>
  <w:endnote w:type="continuationSeparator" w:id="1">
    <w:p w:rsidR="00814C6A" w:rsidRDefault="00814C6A" w:rsidP="007B2E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34" w:rsidRDefault="00CA47AC">
    <w:pPr>
      <w:pStyle w:val="a4"/>
      <w:rPr>
        <w:sz w:val="28"/>
      </w:rPr>
    </w:pPr>
    <w:r>
      <w:rPr>
        <w:rFonts w:hint="eastAsia"/>
        <w:sz w:val="28"/>
      </w:rPr>
      <w:t>—</w:t>
    </w:r>
    <w:r w:rsidR="00F40991">
      <w:rPr>
        <w:rStyle w:val="a5"/>
        <w:sz w:val="28"/>
      </w:rPr>
      <w:fldChar w:fldCharType="begin"/>
    </w:r>
    <w:r>
      <w:rPr>
        <w:rStyle w:val="a5"/>
        <w:sz w:val="28"/>
      </w:rPr>
      <w:instrText xml:space="preserve"> PAGE </w:instrText>
    </w:r>
    <w:r w:rsidR="00F40991">
      <w:rPr>
        <w:rStyle w:val="a5"/>
        <w:sz w:val="28"/>
      </w:rPr>
      <w:fldChar w:fldCharType="separate"/>
    </w:r>
    <w:r>
      <w:rPr>
        <w:rStyle w:val="a5"/>
        <w:noProof/>
        <w:sz w:val="28"/>
      </w:rPr>
      <w:t>6</w:t>
    </w:r>
    <w:r w:rsidR="00F40991">
      <w:rPr>
        <w:rStyle w:val="a5"/>
        <w:sz w:val="28"/>
      </w:rPr>
      <w:fldChar w:fldCharType="end"/>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34" w:rsidRDefault="00CA47AC">
    <w:pPr>
      <w:pStyle w:val="a4"/>
      <w:wordWrap w:val="0"/>
      <w:jc w:val="right"/>
      <w:rPr>
        <w:sz w:val="28"/>
      </w:rPr>
    </w:pPr>
    <w:r>
      <w:rPr>
        <w:rFonts w:hint="eastAsia"/>
        <w:sz w:val="28"/>
      </w:rPr>
      <w:t>—</w:t>
    </w:r>
    <w:r w:rsidR="00F40991">
      <w:rPr>
        <w:rStyle w:val="a5"/>
        <w:sz w:val="28"/>
      </w:rPr>
      <w:fldChar w:fldCharType="begin"/>
    </w:r>
    <w:r>
      <w:rPr>
        <w:rStyle w:val="a5"/>
        <w:sz w:val="28"/>
      </w:rPr>
      <w:instrText xml:space="preserve"> PAGE </w:instrText>
    </w:r>
    <w:r w:rsidR="00F40991">
      <w:rPr>
        <w:rStyle w:val="a5"/>
        <w:sz w:val="28"/>
      </w:rPr>
      <w:fldChar w:fldCharType="separate"/>
    </w:r>
    <w:r w:rsidR="00710132">
      <w:rPr>
        <w:rStyle w:val="a5"/>
        <w:noProof/>
        <w:sz w:val="28"/>
      </w:rPr>
      <w:t>1</w:t>
    </w:r>
    <w:r w:rsidR="00F40991">
      <w:rPr>
        <w:rStyle w:val="a5"/>
        <w:sz w:val="28"/>
      </w:rPr>
      <w:fldChar w:fldCharType="end"/>
    </w:r>
    <w:r>
      <w:rPr>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C6A" w:rsidRDefault="00814C6A" w:rsidP="007B2E9D">
      <w:r>
        <w:separator/>
      </w:r>
    </w:p>
  </w:footnote>
  <w:footnote w:type="continuationSeparator" w:id="1">
    <w:p w:rsidR="00814C6A" w:rsidRDefault="00814C6A" w:rsidP="007B2E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7561"/>
    <w:rsid w:val="0001135F"/>
    <w:rsid w:val="00037122"/>
    <w:rsid w:val="000664FA"/>
    <w:rsid w:val="00071820"/>
    <w:rsid w:val="00075EFF"/>
    <w:rsid w:val="000C4AAA"/>
    <w:rsid w:val="000D13C0"/>
    <w:rsid w:val="000E55A4"/>
    <w:rsid w:val="000F0450"/>
    <w:rsid w:val="00116AAF"/>
    <w:rsid w:val="001272C8"/>
    <w:rsid w:val="0013349F"/>
    <w:rsid w:val="001533E7"/>
    <w:rsid w:val="00164639"/>
    <w:rsid w:val="00170B65"/>
    <w:rsid w:val="00185C1D"/>
    <w:rsid w:val="0018749D"/>
    <w:rsid w:val="001917D0"/>
    <w:rsid w:val="00196A4C"/>
    <w:rsid w:val="001A4445"/>
    <w:rsid w:val="001B046F"/>
    <w:rsid w:val="001B04D6"/>
    <w:rsid w:val="001B1EEF"/>
    <w:rsid w:val="001C6E76"/>
    <w:rsid w:val="001E1983"/>
    <w:rsid w:val="001E55FF"/>
    <w:rsid w:val="002261DB"/>
    <w:rsid w:val="0023784C"/>
    <w:rsid w:val="0025050C"/>
    <w:rsid w:val="0025316F"/>
    <w:rsid w:val="00275C77"/>
    <w:rsid w:val="00277C54"/>
    <w:rsid w:val="00282C8B"/>
    <w:rsid w:val="002923BB"/>
    <w:rsid w:val="00292AF8"/>
    <w:rsid w:val="00294597"/>
    <w:rsid w:val="002A0C7C"/>
    <w:rsid w:val="002B7E1F"/>
    <w:rsid w:val="002D0609"/>
    <w:rsid w:val="002D53A6"/>
    <w:rsid w:val="002E58B6"/>
    <w:rsid w:val="002E5E76"/>
    <w:rsid w:val="00313DD0"/>
    <w:rsid w:val="003168B2"/>
    <w:rsid w:val="00323F4E"/>
    <w:rsid w:val="00324D63"/>
    <w:rsid w:val="003370B1"/>
    <w:rsid w:val="00371543"/>
    <w:rsid w:val="00390254"/>
    <w:rsid w:val="00393CD9"/>
    <w:rsid w:val="003A430E"/>
    <w:rsid w:val="003A6534"/>
    <w:rsid w:val="003B66B5"/>
    <w:rsid w:val="003D2316"/>
    <w:rsid w:val="003E01B8"/>
    <w:rsid w:val="003E4BB7"/>
    <w:rsid w:val="00413FB2"/>
    <w:rsid w:val="00427208"/>
    <w:rsid w:val="00442B87"/>
    <w:rsid w:val="00457751"/>
    <w:rsid w:val="00463FD9"/>
    <w:rsid w:val="00480144"/>
    <w:rsid w:val="0048288A"/>
    <w:rsid w:val="004859C5"/>
    <w:rsid w:val="00494731"/>
    <w:rsid w:val="004B62AB"/>
    <w:rsid w:val="004C46E2"/>
    <w:rsid w:val="004C4706"/>
    <w:rsid w:val="004D09B4"/>
    <w:rsid w:val="004D5392"/>
    <w:rsid w:val="004D5FAB"/>
    <w:rsid w:val="004E14D4"/>
    <w:rsid w:val="004E4934"/>
    <w:rsid w:val="004E6130"/>
    <w:rsid w:val="004E729D"/>
    <w:rsid w:val="0050753A"/>
    <w:rsid w:val="0051437B"/>
    <w:rsid w:val="00523352"/>
    <w:rsid w:val="005461E0"/>
    <w:rsid w:val="0056115E"/>
    <w:rsid w:val="00566DD9"/>
    <w:rsid w:val="005747AE"/>
    <w:rsid w:val="0058195E"/>
    <w:rsid w:val="00583B11"/>
    <w:rsid w:val="005846CD"/>
    <w:rsid w:val="005A33F6"/>
    <w:rsid w:val="005A7C6B"/>
    <w:rsid w:val="005B1562"/>
    <w:rsid w:val="005B1638"/>
    <w:rsid w:val="005C4A08"/>
    <w:rsid w:val="00600BB4"/>
    <w:rsid w:val="00601F0C"/>
    <w:rsid w:val="006202DA"/>
    <w:rsid w:val="006215AB"/>
    <w:rsid w:val="00630683"/>
    <w:rsid w:val="00637FC9"/>
    <w:rsid w:val="00644D43"/>
    <w:rsid w:val="00645B5C"/>
    <w:rsid w:val="00654C75"/>
    <w:rsid w:val="0066040E"/>
    <w:rsid w:val="006631B9"/>
    <w:rsid w:val="00667C8B"/>
    <w:rsid w:val="00675D56"/>
    <w:rsid w:val="0067605B"/>
    <w:rsid w:val="00680013"/>
    <w:rsid w:val="006932E6"/>
    <w:rsid w:val="00695245"/>
    <w:rsid w:val="006A2EE7"/>
    <w:rsid w:val="006B7C10"/>
    <w:rsid w:val="006C1CA0"/>
    <w:rsid w:val="006C4825"/>
    <w:rsid w:val="006D2897"/>
    <w:rsid w:val="006F2F26"/>
    <w:rsid w:val="00702CD3"/>
    <w:rsid w:val="007049AC"/>
    <w:rsid w:val="00710132"/>
    <w:rsid w:val="007203E0"/>
    <w:rsid w:val="00721A28"/>
    <w:rsid w:val="00773CE7"/>
    <w:rsid w:val="00786140"/>
    <w:rsid w:val="007B2E9D"/>
    <w:rsid w:val="007C4C90"/>
    <w:rsid w:val="007E0588"/>
    <w:rsid w:val="007E1A06"/>
    <w:rsid w:val="007F75D5"/>
    <w:rsid w:val="0081212C"/>
    <w:rsid w:val="00814C6A"/>
    <w:rsid w:val="0082574C"/>
    <w:rsid w:val="00841661"/>
    <w:rsid w:val="00842FFD"/>
    <w:rsid w:val="00853668"/>
    <w:rsid w:val="008561D8"/>
    <w:rsid w:val="00867B00"/>
    <w:rsid w:val="00876D19"/>
    <w:rsid w:val="008910F6"/>
    <w:rsid w:val="008B14B3"/>
    <w:rsid w:val="00912DB5"/>
    <w:rsid w:val="00914793"/>
    <w:rsid w:val="00915CAA"/>
    <w:rsid w:val="00924857"/>
    <w:rsid w:val="00945F80"/>
    <w:rsid w:val="00953C06"/>
    <w:rsid w:val="0096402F"/>
    <w:rsid w:val="009813F4"/>
    <w:rsid w:val="00983214"/>
    <w:rsid w:val="00994BA5"/>
    <w:rsid w:val="0099593C"/>
    <w:rsid w:val="009C752F"/>
    <w:rsid w:val="009D5EBC"/>
    <w:rsid w:val="009E1429"/>
    <w:rsid w:val="009E41F5"/>
    <w:rsid w:val="009E6237"/>
    <w:rsid w:val="009F00AF"/>
    <w:rsid w:val="009F0733"/>
    <w:rsid w:val="00A02429"/>
    <w:rsid w:val="00A068D2"/>
    <w:rsid w:val="00A434B5"/>
    <w:rsid w:val="00A479B0"/>
    <w:rsid w:val="00A55545"/>
    <w:rsid w:val="00A555EC"/>
    <w:rsid w:val="00A57748"/>
    <w:rsid w:val="00A77B3C"/>
    <w:rsid w:val="00A80FA2"/>
    <w:rsid w:val="00A954F8"/>
    <w:rsid w:val="00AB0661"/>
    <w:rsid w:val="00AC1507"/>
    <w:rsid w:val="00AE2581"/>
    <w:rsid w:val="00AE293C"/>
    <w:rsid w:val="00B016E4"/>
    <w:rsid w:val="00B070F9"/>
    <w:rsid w:val="00B13443"/>
    <w:rsid w:val="00B27606"/>
    <w:rsid w:val="00B376B2"/>
    <w:rsid w:val="00B40892"/>
    <w:rsid w:val="00B670F9"/>
    <w:rsid w:val="00B80F55"/>
    <w:rsid w:val="00BD6E44"/>
    <w:rsid w:val="00BE44F1"/>
    <w:rsid w:val="00C17731"/>
    <w:rsid w:val="00C20E53"/>
    <w:rsid w:val="00C24840"/>
    <w:rsid w:val="00C56D39"/>
    <w:rsid w:val="00C6230C"/>
    <w:rsid w:val="00C8247A"/>
    <w:rsid w:val="00C9363D"/>
    <w:rsid w:val="00C95E9A"/>
    <w:rsid w:val="00C97EAF"/>
    <w:rsid w:val="00CA47AC"/>
    <w:rsid w:val="00CA7786"/>
    <w:rsid w:val="00CB07DB"/>
    <w:rsid w:val="00CC51B1"/>
    <w:rsid w:val="00CD52C0"/>
    <w:rsid w:val="00CE6BC9"/>
    <w:rsid w:val="00CE7ACA"/>
    <w:rsid w:val="00D160D8"/>
    <w:rsid w:val="00D32715"/>
    <w:rsid w:val="00D3393D"/>
    <w:rsid w:val="00D33F19"/>
    <w:rsid w:val="00D356E3"/>
    <w:rsid w:val="00D639DC"/>
    <w:rsid w:val="00D8206F"/>
    <w:rsid w:val="00D858AA"/>
    <w:rsid w:val="00D87A28"/>
    <w:rsid w:val="00DB6067"/>
    <w:rsid w:val="00DD00B2"/>
    <w:rsid w:val="00DD3EFE"/>
    <w:rsid w:val="00DD6457"/>
    <w:rsid w:val="00DD743F"/>
    <w:rsid w:val="00DD7561"/>
    <w:rsid w:val="00E22212"/>
    <w:rsid w:val="00E40024"/>
    <w:rsid w:val="00E54DEF"/>
    <w:rsid w:val="00E55254"/>
    <w:rsid w:val="00E57581"/>
    <w:rsid w:val="00E642AD"/>
    <w:rsid w:val="00E81920"/>
    <w:rsid w:val="00E84481"/>
    <w:rsid w:val="00E87524"/>
    <w:rsid w:val="00E92707"/>
    <w:rsid w:val="00E9620E"/>
    <w:rsid w:val="00EC1288"/>
    <w:rsid w:val="00EC36C2"/>
    <w:rsid w:val="00EC3EDD"/>
    <w:rsid w:val="00ED1F49"/>
    <w:rsid w:val="00ED5FF8"/>
    <w:rsid w:val="00EE2205"/>
    <w:rsid w:val="00F04410"/>
    <w:rsid w:val="00F25224"/>
    <w:rsid w:val="00F26036"/>
    <w:rsid w:val="00F26D86"/>
    <w:rsid w:val="00F37403"/>
    <w:rsid w:val="00F404D7"/>
    <w:rsid w:val="00F40991"/>
    <w:rsid w:val="00F51A3B"/>
    <w:rsid w:val="00F72D2C"/>
    <w:rsid w:val="00F77EFC"/>
    <w:rsid w:val="00F859E0"/>
    <w:rsid w:val="00FA4148"/>
    <w:rsid w:val="00FB7CFB"/>
    <w:rsid w:val="00FC3D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2E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2E9D"/>
    <w:rPr>
      <w:rFonts w:ascii="Times New Roman" w:eastAsia="宋体" w:hAnsi="Times New Roman" w:cs="Times New Roman"/>
      <w:sz w:val="18"/>
      <w:szCs w:val="18"/>
    </w:rPr>
  </w:style>
  <w:style w:type="paragraph" w:styleId="a4">
    <w:name w:val="footer"/>
    <w:basedOn w:val="a"/>
    <w:link w:val="Char0"/>
    <w:unhideWhenUsed/>
    <w:rsid w:val="007B2E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2E9D"/>
    <w:rPr>
      <w:rFonts w:ascii="Times New Roman" w:eastAsia="宋体" w:hAnsi="Times New Roman" w:cs="Times New Roman"/>
      <w:sz w:val="18"/>
      <w:szCs w:val="18"/>
    </w:rPr>
  </w:style>
  <w:style w:type="character" w:styleId="a5">
    <w:name w:val="page number"/>
    <w:basedOn w:val="a0"/>
    <w:rsid w:val="007B2E9D"/>
  </w:style>
  <w:style w:type="paragraph" w:styleId="a6">
    <w:name w:val="Date"/>
    <w:basedOn w:val="a"/>
    <w:next w:val="a"/>
    <w:link w:val="Char1"/>
    <w:rsid w:val="007B2E9D"/>
    <w:rPr>
      <w:rFonts w:ascii="仿宋_GB2312" w:eastAsia="仿宋_GB2312"/>
      <w:sz w:val="32"/>
    </w:rPr>
  </w:style>
  <w:style w:type="character" w:customStyle="1" w:styleId="Char1">
    <w:name w:val="日期 Char"/>
    <w:basedOn w:val="a0"/>
    <w:link w:val="a6"/>
    <w:rsid w:val="007B2E9D"/>
    <w:rPr>
      <w:rFonts w:ascii="仿宋_GB2312" w:eastAsia="仿宋_GB2312" w:hAnsi="Times New Roman" w:cs="Times New Roman"/>
      <w:sz w:val="32"/>
      <w:szCs w:val="24"/>
    </w:rPr>
  </w:style>
  <w:style w:type="table" w:styleId="a7">
    <w:name w:val="Table Grid"/>
    <w:basedOn w:val="a1"/>
    <w:rsid w:val="007B2E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杨璐/技术开发部/深圳分公司/ChinaClear</dc:creator>
  <cp:keywords/>
  <dc:description/>
  <cp:lastModifiedBy>唐宝兰/综合部/深圳分公司/ChinaClear</cp:lastModifiedBy>
  <cp:revision>2</cp:revision>
  <dcterms:created xsi:type="dcterms:W3CDTF">2020-02-07T08:34:00Z</dcterms:created>
  <dcterms:modified xsi:type="dcterms:W3CDTF">2020-02-07T08:34:00Z</dcterms:modified>
</cp:coreProperties>
</file>